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7F4217DA">
            <wp:extent cx="251460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35E85E7" w14:textId="6AFBED1F" w:rsidR="00821A3B" w:rsidRDefault="00821A3B" w:rsidP="00821A3B">
      <w:pPr>
        <w:pStyle w:val="Heading3"/>
        <w:spacing w:before="360"/>
        <w:rPr>
          <w:rFonts w:ascii="Arial" w:hAnsi="Arial"/>
          <w:color w:val="CA602C"/>
          <w:sz w:val="28"/>
          <w:szCs w:val="32"/>
        </w:rPr>
      </w:pPr>
      <w:bookmarkStart w:id="0" w:name="_Hlk4592303"/>
      <w:r w:rsidRPr="00821A3B">
        <w:rPr>
          <w:rFonts w:ascii="Arial" w:hAnsi="Arial"/>
          <w:color w:val="CA602C"/>
          <w:sz w:val="28"/>
          <w:szCs w:val="32"/>
        </w:rPr>
        <w:t>Surgical and Nonsurgical Treatment</w:t>
      </w:r>
      <w:r>
        <w:rPr>
          <w:rFonts w:ascii="Arial" w:hAnsi="Arial"/>
          <w:color w:val="CA602C"/>
          <w:sz w:val="28"/>
          <w:szCs w:val="32"/>
        </w:rPr>
        <w:t xml:space="preserve"> </w:t>
      </w:r>
      <w:r w:rsidRPr="00821A3B">
        <w:rPr>
          <w:rFonts w:ascii="Arial" w:hAnsi="Arial"/>
          <w:color w:val="CA602C"/>
          <w:sz w:val="28"/>
          <w:szCs w:val="32"/>
        </w:rPr>
        <w:t>of Penetrating Spinal Cord Injury:</w:t>
      </w:r>
      <w:r>
        <w:rPr>
          <w:rFonts w:ascii="Arial" w:hAnsi="Arial"/>
          <w:color w:val="CA602C"/>
          <w:sz w:val="28"/>
          <w:szCs w:val="32"/>
        </w:rPr>
        <w:t xml:space="preserve"> </w:t>
      </w:r>
      <w:r w:rsidRPr="00821A3B">
        <w:rPr>
          <w:rFonts w:ascii="Arial" w:hAnsi="Arial"/>
          <w:color w:val="CA602C"/>
          <w:sz w:val="28"/>
          <w:szCs w:val="32"/>
        </w:rPr>
        <w:t>Analysis of Long-term Neurological</w:t>
      </w:r>
      <w:r>
        <w:rPr>
          <w:rFonts w:ascii="Arial" w:hAnsi="Arial"/>
          <w:color w:val="CA602C"/>
          <w:sz w:val="28"/>
          <w:szCs w:val="32"/>
        </w:rPr>
        <w:t xml:space="preserve"> </w:t>
      </w:r>
      <w:r w:rsidRPr="00821A3B">
        <w:rPr>
          <w:rFonts w:ascii="Arial" w:hAnsi="Arial"/>
          <w:color w:val="CA602C"/>
          <w:sz w:val="28"/>
          <w:szCs w:val="32"/>
        </w:rPr>
        <w:t xml:space="preserve">and Functional Outcomes </w:t>
      </w:r>
    </w:p>
    <w:p w14:paraId="52E59DE8" w14:textId="314B5057" w:rsidR="00615CAD" w:rsidRDefault="00615CAD" w:rsidP="00821A3B">
      <w:pPr>
        <w:pStyle w:val="Heading3"/>
        <w:spacing w:before="360"/>
      </w:pPr>
      <w:r w:rsidRPr="00FA28FF">
        <w:t>What is</w:t>
      </w:r>
      <w:r w:rsidRPr="00615CAD">
        <w:t xml:space="preserve"> th</w:t>
      </w:r>
      <w:r w:rsidR="00B725C0">
        <w:t>e study about?</w:t>
      </w:r>
      <w:bookmarkEnd w:id="0"/>
    </w:p>
    <w:p w14:paraId="0EBD0F8C" w14:textId="6BE26631" w:rsidR="0069710D" w:rsidRDefault="0069710D" w:rsidP="0069710D">
      <w:pPr>
        <w:ind w:left="90"/>
      </w:pPr>
      <w:r>
        <w:t xml:space="preserve">This study examined </w:t>
      </w:r>
      <w:bookmarkStart w:id="1" w:name="_Hlk10638918"/>
      <w:r w:rsidRPr="0069710D">
        <w:t>neurological and functional outcomes for</w:t>
      </w:r>
      <w:r>
        <w:t xml:space="preserve"> individuals with penetrating spinal cord </w:t>
      </w:r>
      <w:r w:rsidR="001A201B">
        <w:t>injuries (</w:t>
      </w:r>
      <w:r>
        <w:t>PSCI) following surgical and nonsurgical treatment</w:t>
      </w:r>
      <w:bookmarkEnd w:id="1"/>
      <w:r w:rsidR="00203E5F">
        <w:t xml:space="preserve">. </w:t>
      </w:r>
      <w:r w:rsidR="00874C5E">
        <w:t>Researchers looked at both complete and incomplete spinal cord injury. A complete injury is one in which there is a total lack of sensation and movement below the level of injury.</w:t>
      </w:r>
    </w:p>
    <w:p w14:paraId="264E46A3" w14:textId="7FF09B0E" w:rsidR="00826543" w:rsidRDefault="00826543" w:rsidP="00826543">
      <w:pPr>
        <w:pStyle w:val="Heading3"/>
      </w:pPr>
      <w:r w:rsidRPr="000B1BE7">
        <w:t>Wh</w:t>
      </w:r>
      <w:r>
        <w:t>at did the study find</w:t>
      </w:r>
      <w:r w:rsidRPr="000B1BE7">
        <w:t>?</w:t>
      </w:r>
    </w:p>
    <w:p w14:paraId="22C04265" w14:textId="77777777" w:rsidR="00513737" w:rsidRDefault="00513737" w:rsidP="00826543">
      <w:pPr>
        <w:pStyle w:val="Heading3"/>
        <w:rPr>
          <w:rFonts w:asciiTheme="minorHAnsi" w:eastAsiaTheme="minorHAnsi" w:hAnsiTheme="minorHAnsi" w:cstheme="minorBidi"/>
          <w:b w:val="0"/>
          <w:bCs w:val="0"/>
          <w:noProof w:val="0"/>
          <w:color w:val="auto"/>
          <w:sz w:val="22"/>
          <w:szCs w:val="22"/>
        </w:rPr>
      </w:pPr>
      <w:bookmarkStart w:id="2" w:name="_Hlk4592322"/>
      <w:r w:rsidRPr="00513737">
        <w:rPr>
          <w:rFonts w:asciiTheme="minorHAnsi" w:eastAsiaTheme="minorHAnsi" w:hAnsiTheme="minorHAnsi" w:cstheme="minorBidi"/>
          <w:b w:val="0"/>
          <w:bCs w:val="0"/>
          <w:noProof w:val="0"/>
          <w:color w:val="auto"/>
          <w:sz w:val="22"/>
          <w:szCs w:val="22"/>
        </w:rPr>
        <w:t>Surgery for patients with complete PSCI is associated with longer acute hospital length of stay when compared to people not receiving surgery. Furthermore, with appropriate assessment and medical management, surgery for patients with complete or incomplete PSCI has similar results as non-surgical treatment regarding improvement in neurological or functional outcomes at up to 1-year follow-up.</w:t>
      </w:r>
    </w:p>
    <w:p w14:paraId="3B765DC1" w14:textId="535FF17E" w:rsidR="00826543" w:rsidRDefault="00826543" w:rsidP="00826543">
      <w:pPr>
        <w:pStyle w:val="Heading3"/>
      </w:pPr>
      <w:bookmarkStart w:id="3" w:name="_GoBack"/>
      <w:bookmarkEnd w:id="3"/>
      <w:r w:rsidRPr="000B1BE7">
        <w:t>Who participated in the study?</w:t>
      </w:r>
    </w:p>
    <w:p w14:paraId="54EB840D" w14:textId="05C923A2" w:rsidR="001A201B" w:rsidRDefault="001A201B" w:rsidP="001A201B">
      <w:pPr>
        <w:ind w:left="90"/>
      </w:pPr>
      <w:r>
        <w:t xml:space="preserve">The SCIMS national database was used to identify 1052 PSCI admissions to SCIM rehabilitation facilities from 1994 through January 2015. Of those, 212 received surgical treatment and 840 received non-surgical treatment.  </w:t>
      </w:r>
    </w:p>
    <w:bookmarkEnd w:id="2"/>
    <w:p w14:paraId="271058EF" w14:textId="26376D09" w:rsidR="000F02FB" w:rsidRPr="00FA28FF" w:rsidRDefault="000F02FB" w:rsidP="001A201B">
      <w:pPr>
        <w:pStyle w:val="Heading3"/>
      </w:pPr>
      <w:r w:rsidRPr="00FA28FF">
        <w:t>How was the study conducted?</w:t>
      </w:r>
    </w:p>
    <w:p w14:paraId="35E6A70B" w14:textId="18D4F9B8" w:rsidR="001A201B" w:rsidRPr="001A201B" w:rsidRDefault="001A201B" w:rsidP="001A201B">
      <w:pPr>
        <w:spacing w:before="0" w:after="160" w:line="259" w:lineRule="auto"/>
        <w:ind w:left="90"/>
        <w:rPr>
          <w:rFonts w:ascii="Calibri" w:eastAsia="Calibri" w:hAnsi="Calibri" w:cs="Times New Roman"/>
        </w:rPr>
      </w:pPr>
      <w:r w:rsidRPr="001A201B">
        <w:rPr>
          <w:rFonts w:ascii="Calibri" w:eastAsia="Calibri" w:hAnsi="Calibri" w:cs="Times New Roman"/>
        </w:rPr>
        <w:t xml:space="preserve">To measure outcomes, this study used the International Standards for Neurological Classification of Spinal Cord Injury and the Functional Independence Measure motor scores. The outcomes for patients with complete and incomplete PSCI were analyzed separately. </w:t>
      </w:r>
    </w:p>
    <w:p w14:paraId="1C98CE64" w14:textId="182C0B88" w:rsidR="00E86C91" w:rsidRDefault="00CB4C5B" w:rsidP="001A201B">
      <w:pPr>
        <w:pStyle w:val="Heading3"/>
        <w:spacing w:before="120" w:after="120"/>
      </w:pPr>
      <w:r>
        <w:t xml:space="preserve">How can </w:t>
      </w:r>
      <w:r w:rsidRPr="00826543">
        <w:rPr>
          <w:rFonts w:cs="Calibri (Body)"/>
        </w:rPr>
        <w:t>people</w:t>
      </w:r>
      <w:r>
        <w:t xml:space="preserve"> use the results?</w:t>
      </w:r>
    </w:p>
    <w:p w14:paraId="6CC330CD" w14:textId="153663AE" w:rsidR="001A201B" w:rsidRPr="001A201B" w:rsidRDefault="001A201B" w:rsidP="001A201B">
      <w:pPr>
        <w:ind w:left="90"/>
      </w:pPr>
      <w:r>
        <w:t xml:space="preserve">These findings can be used by </w:t>
      </w:r>
      <w:proofErr w:type="spellStart"/>
      <w:r>
        <w:t>clinicans</w:t>
      </w:r>
      <w:proofErr w:type="spellEnd"/>
      <w:r>
        <w:t xml:space="preserve">, individuals with PSCI, and their families to help them understand the </w:t>
      </w:r>
      <w:r w:rsidRPr="001A201B">
        <w:t>neurological and functional outcomes for individuals with penetrating spinal cord injuries (PSCI) following surgical and nonsurgical treatment</w:t>
      </w:r>
      <w:r>
        <w:t xml:space="preserve">. </w:t>
      </w:r>
    </w:p>
    <w:p w14:paraId="1F9A7C58" w14:textId="69E7BC5B" w:rsidR="00CB4C5B" w:rsidRDefault="007072FC" w:rsidP="007072FC">
      <w:pPr>
        <w:pStyle w:val="Heading3"/>
      </w:pPr>
      <w:r>
        <w:t>Reference</w:t>
      </w:r>
    </w:p>
    <w:p w14:paraId="7A31DBC7" w14:textId="58D0DC1B" w:rsidR="001A201B" w:rsidRPr="001A201B" w:rsidRDefault="001A201B" w:rsidP="001A201B">
      <w:pPr>
        <w:ind w:left="90"/>
      </w:pPr>
      <w:r w:rsidRPr="001A201B">
        <w:t xml:space="preserve">Kelly, M. L., Roach, M. J., </w:t>
      </w:r>
      <w:proofErr w:type="spellStart"/>
      <w:r w:rsidRPr="001A201B">
        <w:t>Nemunaitis</w:t>
      </w:r>
      <w:proofErr w:type="spellEnd"/>
      <w:r w:rsidRPr="001A201B">
        <w:t>, G., &amp; Chen, Y. (2019). Surgical and Nonsurgical Treatment of Penetrating Spinal Cord Injury: Analysis of Long-term Neurological and Functional Outcomes. Topics in Spinal Cord Injury Rehabilitation, 25(2), 186-193. doi:10.1310/sci2502-186</w:t>
      </w:r>
    </w:p>
    <w:p w14:paraId="3D46F7D7" w14:textId="3A591ABF" w:rsidR="00CB4C5B" w:rsidRPr="00317B84" w:rsidRDefault="007072FC" w:rsidP="007072FC">
      <w:pPr>
        <w:pStyle w:val="Heading3"/>
      </w:pPr>
      <w:r>
        <w:t>Disclaimer</w:t>
      </w:r>
    </w:p>
    <w:p w14:paraId="080EC9ED" w14:textId="0DD03561" w:rsidR="004C59F0" w:rsidRDefault="004C59F0" w:rsidP="00C22DFC">
      <w:pPr>
        <w:pStyle w:val="Background"/>
      </w:pPr>
      <w:r w:rsidRPr="004C59F0">
        <w:rPr>
          <w:color w:val="000000" w:themeColor="text1"/>
          <w:szCs w:val="18"/>
        </w:rPr>
        <w:t xml:space="preserve">The contents of this </w:t>
      </w:r>
      <w:r w:rsidR="00EF4837">
        <w:rPr>
          <w:color w:val="000000" w:themeColor="text1"/>
          <w:szCs w:val="18"/>
        </w:rPr>
        <w:t xml:space="preserve">quick review </w:t>
      </w:r>
      <w:r w:rsidRPr="004C59F0">
        <w:rPr>
          <w:color w:val="000000" w:themeColor="text1"/>
          <w:szCs w:val="18"/>
        </w:rPr>
        <w:t>were developed under a grant from the National Institute on Disability, Independent Living, and Rehabilitation Research (NIDILRR grant number 90</w:t>
      </w:r>
      <w:r w:rsidR="002A5E48">
        <w:rPr>
          <w:rFonts w:cs="Helvetica"/>
        </w:rPr>
        <w:t>DP0082</w:t>
      </w:r>
      <w:r w:rsidRPr="004C59F0">
        <w:rPr>
          <w:color w:val="000000" w:themeColor="text1"/>
          <w:szCs w:val="18"/>
        </w:rPr>
        <w:t xml:space="preserve">). NIDILRR is a Center within the Administration for Community Living (ACL), Department of Health and Human Services </w:t>
      </w:r>
      <w:r w:rsidRPr="004C59F0">
        <w:rPr>
          <w:color w:val="000000" w:themeColor="text1"/>
          <w:szCs w:val="18"/>
        </w:rPr>
        <w:lastRenderedPageBreak/>
        <w:t xml:space="preserve">(HHS). The contents of this </w:t>
      </w:r>
      <w:r w:rsidR="00EF4837">
        <w:rPr>
          <w:color w:val="000000" w:themeColor="text1"/>
          <w:szCs w:val="18"/>
        </w:rPr>
        <w:t>quick review</w:t>
      </w:r>
      <w:r w:rsidRPr="004C59F0">
        <w:rPr>
          <w:color w:val="000000" w:themeColor="text1"/>
          <w:szCs w:val="18"/>
        </w:rPr>
        <w:t xml:space="preserve"> do not necessarily represent the policy of NIDILRR, ACL, HHS, and you should not assume endorsement by the Federal Government.</w:t>
      </w:r>
    </w:p>
    <w:p w14:paraId="18917B42" w14:textId="77777777" w:rsidR="004C59F0" w:rsidRPr="004C59F0" w:rsidRDefault="004C59F0" w:rsidP="004C59F0"/>
    <w:p w14:paraId="46EA7D9A" w14:textId="77777777" w:rsidR="004C59F0" w:rsidRPr="004C59F0" w:rsidRDefault="004C59F0" w:rsidP="004C59F0"/>
    <w:p w14:paraId="5B46F4A4" w14:textId="77777777" w:rsidR="004C59F0" w:rsidRPr="004C59F0" w:rsidRDefault="004C59F0" w:rsidP="004C59F0"/>
    <w:p w14:paraId="68F2E363" w14:textId="77777777" w:rsidR="00615CAD" w:rsidRPr="004C59F0" w:rsidRDefault="00615CAD" w:rsidP="004B53C9"/>
    <w:sectPr w:rsidR="00615CAD" w:rsidRPr="004C59F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8F310" w14:textId="77777777" w:rsidR="003F396F" w:rsidRDefault="003F396F">
      <w:pPr>
        <w:spacing w:before="0" w:after="0" w:line="240" w:lineRule="auto"/>
      </w:pPr>
      <w:r>
        <w:separator/>
      </w:r>
    </w:p>
  </w:endnote>
  <w:endnote w:type="continuationSeparator" w:id="0">
    <w:p w14:paraId="6EC3A168" w14:textId="77777777" w:rsidR="003F396F" w:rsidRDefault="003F396F">
      <w:pPr>
        <w:spacing w:before="0" w:after="0" w:line="240" w:lineRule="auto"/>
      </w:pPr>
      <w:r>
        <w:continuationSeparator/>
      </w:r>
    </w:p>
  </w:endnote>
  <w:endnote w:type="continuationNotice" w:id="1">
    <w:p w14:paraId="359F5116" w14:textId="77777777" w:rsidR="003F396F" w:rsidRDefault="003F396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Calibri (Body)">
    <w:altName w:val="Calibri"/>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154AD" w:rsidRPr="004C59F0" w:rsidRDefault="003F396F"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984D2" w14:textId="77777777" w:rsidR="003F396F" w:rsidRPr="006C7FDE" w:rsidRDefault="003F396F" w:rsidP="006C7FDE">
      <w:pPr>
        <w:pStyle w:val="Footer"/>
      </w:pPr>
    </w:p>
  </w:footnote>
  <w:footnote w:type="continuationSeparator" w:id="0">
    <w:p w14:paraId="16E789A9" w14:textId="77777777" w:rsidR="003F396F" w:rsidRPr="006C7FDE" w:rsidRDefault="003F396F" w:rsidP="006C7FDE">
      <w:pPr>
        <w:pStyle w:val="Footer"/>
      </w:pPr>
    </w:p>
  </w:footnote>
  <w:footnote w:type="continuationNotice" w:id="1">
    <w:p w14:paraId="42B4BA72" w14:textId="77777777" w:rsidR="003F396F" w:rsidRDefault="003F396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40F2A"/>
    <w:rsid w:val="0004123D"/>
    <w:rsid w:val="00057592"/>
    <w:rsid w:val="0007334C"/>
    <w:rsid w:val="00080047"/>
    <w:rsid w:val="000B1BE7"/>
    <w:rsid w:val="000B720B"/>
    <w:rsid w:val="000C63F6"/>
    <w:rsid w:val="000E0AF9"/>
    <w:rsid w:val="000F02FB"/>
    <w:rsid w:val="00101253"/>
    <w:rsid w:val="00105E82"/>
    <w:rsid w:val="00113EDB"/>
    <w:rsid w:val="00117A90"/>
    <w:rsid w:val="00121E65"/>
    <w:rsid w:val="0012233B"/>
    <w:rsid w:val="00127E75"/>
    <w:rsid w:val="001337EF"/>
    <w:rsid w:val="00147988"/>
    <w:rsid w:val="00157858"/>
    <w:rsid w:val="001709B2"/>
    <w:rsid w:val="001725AA"/>
    <w:rsid w:val="00173B43"/>
    <w:rsid w:val="00183D6A"/>
    <w:rsid w:val="001A201B"/>
    <w:rsid w:val="001B4D9E"/>
    <w:rsid w:val="001D2DE7"/>
    <w:rsid w:val="001E236C"/>
    <w:rsid w:val="001F5587"/>
    <w:rsid w:val="00203E5F"/>
    <w:rsid w:val="00254C38"/>
    <w:rsid w:val="00264ECC"/>
    <w:rsid w:val="00265ED2"/>
    <w:rsid w:val="00270784"/>
    <w:rsid w:val="002730BC"/>
    <w:rsid w:val="002A5E48"/>
    <w:rsid w:val="002A7453"/>
    <w:rsid w:val="002B097A"/>
    <w:rsid w:val="002B58DF"/>
    <w:rsid w:val="002E3CBE"/>
    <w:rsid w:val="002E5577"/>
    <w:rsid w:val="002F5BF6"/>
    <w:rsid w:val="0031749E"/>
    <w:rsid w:val="00317B84"/>
    <w:rsid w:val="00321A6B"/>
    <w:rsid w:val="00322FCA"/>
    <w:rsid w:val="00345F51"/>
    <w:rsid w:val="00346CD8"/>
    <w:rsid w:val="00380DCF"/>
    <w:rsid w:val="00381201"/>
    <w:rsid w:val="003812EA"/>
    <w:rsid w:val="00387B3F"/>
    <w:rsid w:val="003C0035"/>
    <w:rsid w:val="003C0722"/>
    <w:rsid w:val="003D451D"/>
    <w:rsid w:val="003F396F"/>
    <w:rsid w:val="00416C6C"/>
    <w:rsid w:val="00423930"/>
    <w:rsid w:val="004269D3"/>
    <w:rsid w:val="0043355B"/>
    <w:rsid w:val="00445D1A"/>
    <w:rsid w:val="004547D4"/>
    <w:rsid w:val="004663F7"/>
    <w:rsid w:val="004709C0"/>
    <w:rsid w:val="00486F57"/>
    <w:rsid w:val="004B3B8B"/>
    <w:rsid w:val="004B53C9"/>
    <w:rsid w:val="004B71D3"/>
    <w:rsid w:val="004B762D"/>
    <w:rsid w:val="004C59F0"/>
    <w:rsid w:val="004C6036"/>
    <w:rsid w:val="004E13AA"/>
    <w:rsid w:val="004F7772"/>
    <w:rsid w:val="00513737"/>
    <w:rsid w:val="00522108"/>
    <w:rsid w:val="00525A6A"/>
    <w:rsid w:val="005439A8"/>
    <w:rsid w:val="00557B58"/>
    <w:rsid w:val="0057469E"/>
    <w:rsid w:val="005D08AD"/>
    <w:rsid w:val="005D2332"/>
    <w:rsid w:val="005F31E0"/>
    <w:rsid w:val="00615CAD"/>
    <w:rsid w:val="00622576"/>
    <w:rsid w:val="00643CA7"/>
    <w:rsid w:val="0064519B"/>
    <w:rsid w:val="00656C91"/>
    <w:rsid w:val="0066558D"/>
    <w:rsid w:val="00673FEA"/>
    <w:rsid w:val="00675B32"/>
    <w:rsid w:val="00687FDA"/>
    <w:rsid w:val="0069710D"/>
    <w:rsid w:val="006C7FDE"/>
    <w:rsid w:val="006E1CAF"/>
    <w:rsid w:val="006E6158"/>
    <w:rsid w:val="006F7D09"/>
    <w:rsid w:val="007034C5"/>
    <w:rsid w:val="007072FC"/>
    <w:rsid w:val="007074E4"/>
    <w:rsid w:val="007126B2"/>
    <w:rsid w:val="007169EC"/>
    <w:rsid w:val="00736FCA"/>
    <w:rsid w:val="00793240"/>
    <w:rsid w:val="007B17CB"/>
    <w:rsid w:val="007B64E2"/>
    <w:rsid w:val="007C620D"/>
    <w:rsid w:val="007C71D6"/>
    <w:rsid w:val="007E1081"/>
    <w:rsid w:val="007E21A5"/>
    <w:rsid w:val="007E6A41"/>
    <w:rsid w:val="007F13AE"/>
    <w:rsid w:val="008034F6"/>
    <w:rsid w:val="008210F1"/>
    <w:rsid w:val="00821A3B"/>
    <w:rsid w:val="00826543"/>
    <w:rsid w:val="00835888"/>
    <w:rsid w:val="0084779C"/>
    <w:rsid w:val="008567C5"/>
    <w:rsid w:val="00861210"/>
    <w:rsid w:val="00864AFC"/>
    <w:rsid w:val="00874C5E"/>
    <w:rsid w:val="0087565E"/>
    <w:rsid w:val="008B1EFA"/>
    <w:rsid w:val="008D6A74"/>
    <w:rsid w:val="008F1C67"/>
    <w:rsid w:val="008F230B"/>
    <w:rsid w:val="008F52C9"/>
    <w:rsid w:val="009014C4"/>
    <w:rsid w:val="00914608"/>
    <w:rsid w:val="009154AD"/>
    <w:rsid w:val="009259B2"/>
    <w:rsid w:val="00925EF3"/>
    <w:rsid w:val="0093353B"/>
    <w:rsid w:val="009561C4"/>
    <w:rsid w:val="00963993"/>
    <w:rsid w:val="00975487"/>
    <w:rsid w:val="0097551C"/>
    <w:rsid w:val="0098686C"/>
    <w:rsid w:val="00987BFA"/>
    <w:rsid w:val="009C6580"/>
    <w:rsid w:val="009D05E2"/>
    <w:rsid w:val="009F7207"/>
    <w:rsid w:val="00A138CB"/>
    <w:rsid w:val="00A34025"/>
    <w:rsid w:val="00A3453C"/>
    <w:rsid w:val="00A570FB"/>
    <w:rsid w:val="00A641A4"/>
    <w:rsid w:val="00A7408C"/>
    <w:rsid w:val="00A76007"/>
    <w:rsid w:val="00A83B89"/>
    <w:rsid w:val="00AD689F"/>
    <w:rsid w:val="00AE5027"/>
    <w:rsid w:val="00B158E5"/>
    <w:rsid w:val="00B329BC"/>
    <w:rsid w:val="00B5367C"/>
    <w:rsid w:val="00B5526D"/>
    <w:rsid w:val="00B711C2"/>
    <w:rsid w:val="00B725C0"/>
    <w:rsid w:val="00B7633C"/>
    <w:rsid w:val="00B803C6"/>
    <w:rsid w:val="00B90539"/>
    <w:rsid w:val="00B9788A"/>
    <w:rsid w:val="00BA191F"/>
    <w:rsid w:val="00BD51FF"/>
    <w:rsid w:val="00BE7D37"/>
    <w:rsid w:val="00C152A2"/>
    <w:rsid w:val="00C22DFC"/>
    <w:rsid w:val="00C235C4"/>
    <w:rsid w:val="00C30ED8"/>
    <w:rsid w:val="00C420FE"/>
    <w:rsid w:val="00C467E9"/>
    <w:rsid w:val="00C52204"/>
    <w:rsid w:val="00C60D9C"/>
    <w:rsid w:val="00C64EAE"/>
    <w:rsid w:val="00C81849"/>
    <w:rsid w:val="00C84DC0"/>
    <w:rsid w:val="00C8695F"/>
    <w:rsid w:val="00C957F2"/>
    <w:rsid w:val="00CA5E1C"/>
    <w:rsid w:val="00CA7CC7"/>
    <w:rsid w:val="00CB4C5B"/>
    <w:rsid w:val="00CB5422"/>
    <w:rsid w:val="00CD2708"/>
    <w:rsid w:val="00CD2712"/>
    <w:rsid w:val="00D0785A"/>
    <w:rsid w:val="00D14AEC"/>
    <w:rsid w:val="00D16949"/>
    <w:rsid w:val="00D202B9"/>
    <w:rsid w:val="00D216F1"/>
    <w:rsid w:val="00D22F4B"/>
    <w:rsid w:val="00D41DF4"/>
    <w:rsid w:val="00D45567"/>
    <w:rsid w:val="00D559E9"/>
    <w:rsid w:val="00D61860"/>
    <w:rsid w:val="00D84037"/>
    <w:rsid w:val="00DC14D1"/>
    <w:rsid w:val="00DC58B2"/>
    <w:rsid w:val="00DD5060"/>
    <w:rsid w:val="00DD5A33"/>
    <w:rsid w:val="00DD72EC"/>
    <w:rsid w:val="00DE32A5"/>
    <w:rsid w:val="00DE424D"/>
    <w:rsid w:val="00DF28A0"/>
    <w:rsid w:val="00E25C7C"/>
    <w:rsid w:val="00E31C28"/>
    <w:rsid w:val="00E369BA"/>
    <w:rsid w:val="00E45CFB"/>
    <w:rsid w:val="00E4784E"/>
    <w:rsid w:val="00E83AA6"/>
    <w:rsid w:val="00E86C91"/>
    <w:rsid w:val="00E95262"/>
    <w:rsid w:val="00EA2AAD"/>
    <w:rsid w:val="00EA61B9"/>
    <w:rsid w:val="00ED5F71"/>
    <w:rsid w:val="00EF4837"/>
    <w:rsid w:val="00EF53AC"/>
    <w:rsid w:val="00F04BE5"/>
    <w:rsid w:val="00F05279"/>
    <w:rsid w:val="00F103AB"/>
    <w:rsid w:val="00F15167"/>
    <w:rsid w:val="00F17CEE"/>
    <w:rsid w:val="00F23D48"/>
    <w:rsid w:val="00F57594"/>
    <w:rsid w:val="00F831BD"/>
    <w:rsid w:val="00FA28FF"/>
    <w:rsid w:val="00FD0ECD"/>
    <w:rsid w:val="00FD742F"/>
    <w:rsid w:val="00FF2845"/>
    <w:rsid w:val="00FF2E0B"/>
    <w:rsid w:val="00FF3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CB4C5B"/>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CB4C5B"/>
  </w:style>
  <w:style w:type="character" w:customStyle="1" w:styleId="BodyTextChar">
    <w:name w:val="Body Text Char"/>
    <w:basedOn w:val="DefaultParagraphFont"/>
    <w:link w:val="BodyText"/>
    <w:uiPriority w:val="99"/>
    <w:semiHidden/>
    <w:rsid w:val="00CB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9ED198-05FA-449A-96B8-8A85BEAC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2019-06-24T17:30:00Z</dcterms:created>
  <dcterms:modified xsi:type="dcterms:W3CDTF">2019-10-08T16:54:00Z</dcterms:modified>
</cp:coreProperties>
</file>