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16E955D" w14:textId="1D9D8DBB" w:rsidR="002D4BE0" w:rsidRDefault="002D4BE0" w:rsidP="009D6CB7">
      <w:pPr>
        <w:pStyle w:val="Heading3"/>
        <w:spacing w:before="360"/>
        <w:ind w:left="0"/>
        <w:rPr>
          <w:rFonts w:ascii="Arial" w:hAnsi="Arial"/>
          <w:color w:val="CA602C"/>
          <w:sz w:val="28"/>
          <w:szCs w:val="32"/>
        </w:rPr>
      </w:pPr>
      <w:r w:rsidRPr="002D4BE0">
        <w:rPr>
          <w:rFonts w:ascii="Arial" w:hAnsi="Arial"/>
          <w:color w:val="CA602C"/>
          <w:sz w:val="28"/>
          <w:szCs w:val="32"/>
        </w:rPr>
        <w:t>Sensitivity of the SCI-FI/AT in Individuals with Traumatic Spinal Cord Injury</w:t>
      </w:r>
      <w:r w:rsidR="001879E2" w:rsidRPr="001879E2">
        <w:rPr>
          <w:rFonts w:ascii="Arial" w:hAnsi="Arial"/>
          <w:color w:val="CA602C"/>
          <w:sz w:val="28"/>
          <w:szCs w:val="32"/>
          <w:vertAlign w:val="superscript"/>
        </w:rPr>
        <w:t>1</w:t>
      </w:r>
    </w:p>
    <w:p w14:paraId="52E59DE8" w14:textId="5372D28A" w:rsidR="00615CAD" w:rsidRDefault="00615CAD" w:rsidP="009D6CB7">
      <w:pPr>
        <w:pStyle w:val="Heading3"/>
        <w:spacing w:before="360"/>
        <w:ind w:left="0"/>
      </w:pPr>
      <w:r w:rsidRPr="00FA28FF">
        <w:t>What is</w:t>
      </w:r>
      <w:r w:rsidRPr="00615CAD">
        <w:t xml:space="preserve"> th</w:t>
      </w:r>
      <w:r w:rsidR="00B725C0">
        <w:t>e study about?</w:t>
      </w:r>
    </w:p>
    <w:p w14:paraId="7703D6C4" w14:textId="3917A7D2" w:rsidR="007462F3" w:rsidRPr="002C7A5A" w:rsidRDefault="007462F3" w:rsidP="00881BD8">
      <w:pPr>
        <w:spacing w:line="240" w:lineRule="auto"/>
      </w:pPr>
      <w:r w:rsidRPr="002C7A5A">
        <w:t xml:space="preserve">This study </w:t>
      </w:r>
      <w:r w:rsidR="00747B7B" w:rsidRPr="002C7A5A">
        <w:t>has two goals:</w:t>
      </w:r>
      <w:r w:rsidR="00522258" w:rsidRPr="002C7A5A">
        <w:t xml:space="preserve"> 1</w:t>
      </w:r>
      <w:r w:rsidR="002C7A5A" w:rsidRPr="002C7A5A">
        <w:t>)</w:t>
      </w:r>
      <w:r w:rsidR="00747B7B" w:rsidRPr="002C7A5A">
        <w:t xml:space="preserve"> to </w:t>
      </w:r>
      <w:r w:rsidR="0086399D">
        <w:t>compare the ability of the</w:t>
      </w:r>
      <w:r w:rsidRPr="002C7A5A">
        <w:t xml:space="preserve"> SCI-FI/AT </w:t>
      </w:r>
      <w:r w:rsidR="0086399D">
        <w:t>and a legacy measure to</w:t>
      </w:r>
      <w:r w:rsidR="00747B7B" w:rsidRPr="002C7A5A">
        <w:t xml:space="preserve"> detect functional change</w:t>
      </w:r>
      <w:r w:rsidR="00522258" w:rsidRPr="002C7A5A">
        <w:t xml:space="preserve"> in people with SCI at all levels over a </w:t>
      </w:r>
      <w:r w:rsidR="007910FA" w:rsidRPr="002C7A5A">
        <w:t>1-year</w:t>
      </w:r>
      <w:r w:rsidR="00522258" w:rsidRPr="002C7A5A">
        <w:t xml:space="preserve"> period after hospital discharge</w:t>
      </w:r>
      <w:r w:rsidR="0086399D">
        <w:t>;</w:t>
      </w:r>
      <w:r w:rsidR="00522258" w:rsidRPr="002C7A5A">
        <w:t xml:space="preserve"> and 2</w:t>
      </w:r>
      <w:r w:rsidR="002C7A5A" w:rsidRPr="002C7A5A">
        <w:t>)</w:t>
      </w:r>
      <w:r w:rsidR="00747B7B" w:rsidRPr="002C7A5A">
        <w:t xml:space="preserve"> </w:t>
      </w:r>
      <w:r w:rsidR="00AE3750" w:rsidRPr="002C7A5A">
        <w:t>to</w:t>
      </w:r>
      <w:r w:rsidR="00D558F8" w:rsidRPr="002C7A5A">
        <w:t xml:space="preserve"> </w:t>
      </w:r>
      <w:r w:rsidR="0086399D">
        <w:t xml:space="preserve">calculate the minimum change in score needed on each of the </w:t>
      </w:r>
      <w:r w:rsidRPr="002C7A5A">
        <w:t xml:space="preserve"> </w:t>
      </w:r>
      <w:r w:rsidR="005E4EE1" w:rsidRPr="002C7A5A">
        <w:t xml:space="preserve">SCI-FI/AT </w:t>
      </w:r>
      <w:r w:rsidR="0086399D">
        <w:t>domains to</w:t>
      </w:r>
      <w:r w:rsidR="0086399D" w:rsidRPr="002C7A5A">
        <w:t xml:space="preserve"> </w:t>
      </w:r>
      <w:r w:rsidR="005E4EE1" w:rsidRPr="002C7A5A">
        <w:t>show true functional change</w:t>
      </w:r>
      <w:r w:rsidR="0086399D">
        <w:t xml:space="preserve"> occurred</w:t>
      </w:r>
      <w:r w:rsidR="005E4EE1" w:rsidRPr="002C7A5A">
        <w:t xml:space="preserve">. </w:t>
      </w:r>
    </w:p>
    <w:p w14:paraId="7EFE09AA" w14:textId="77777777" w:rsidR="002C7A5A" w:rsidRDefault="002C7A5A" w:rsidP="002C7A5A">
      <w:pPr>
        <w:pStyle w:val="Heading3"/>
        <w:ind w:left="0"/>
      </w:pPr>
      <w:r w:rsidRPr="00FA28FF">
        <w:t>What did the study find?</w:t>
      </w:r>
    </w:p>
    <w:p w14:paraId="72C5BFA2" w14:textId="5B8DF569" w:rsidR="002C7A5A" w:rsidRPr="002C7A5A" w:rsidRDefault="002C7A5A" w:rsidP="002C7A5A">
      <w:pPr>
        <w:autoSpaceDE w:val="0"/>
        <w:autoSpaceDN w:val="0"/>
        <w:adjustRightInd w:val="0"/>
        <w:spacing w:before="0" w:after="0" w:line="240" w:lineRule="auto"/>
        <w:rPr>
          <w:rFonts w:cs="Times New Roman"/>
        </w:rPr>
      </w:pPr>
      <w:r w:rsidRPr="002C7A5A">
        <w:t>These findings support the use of the SCI-FI/AT CAT in the SCI population and highlight the importance of multidimensional functional measures. For</w:t>
      </w:r>
      <w:r w:rsidRPr="002C7A5A">
        <w:rPr>
          <w:rFonts w:cs="Times New Roman"/>
        </w:rPr>
        <w:t xml:space="preserve"> individuals with paraplegia, the Basic Mobility, Self-Care, and Ambulation domains of the SCI-FI/AT detected a significant, large amount of change; in contrast, the Fine Motor and Wheelchair domains detected only small amount of change. For those with tetraplegia, the Basic Mobility, Fine Motor, and Self-Care domains detected a small amount of change; while the Ambulation item domain detected a medium amount of change. The Wheelchair domain for people with tetraplegia was the only</w:t>
      </w:r>
    </w:p>
    <w:p w14:paraId="638A55D5" w14:textId="2E7C0E0C" w:rsidR="002C7A5A" w:rsidRPr="002C7A5A" w:rsidRDefault="002C7A5A" w:rsidP="002C7A5A">
      <w:pPr>
        <w:autoSpaceDE w:val="0"/>
        <w:autoSpaceDN w:val="0"/>
        <w:adjustRightInd w:val="0"/>
        <w:spacing w:before="0" w:after="0" w:line="240" w:lineRule="auto"/>
        <w:rPr>
          <w:rFonts w:cs="Times New Roman"/>
        </w:rPr>
      </w:pPr>
      <w:r w:rsidRPr="002C7A5A">
        <w:rPr>
          <w:rFonts w:cs="Times New Roman"/>
        </w:rPr>
        <w:t xml:space="preserve">SCI-FI/AT domain that did not detect significant change. The changes vary by domain measured and are influenced by level of SCI. The authors suggest that the SCI-FI/AT improves measurement when compared with the </w:t>
      </w:r>
      <w:r w:rsidR="00C15F90">
        <w:rPr>
          <w:rFonts w:cs="Times New Roman"/>
        </w:rPr>
        <w:t>legacy</w:t>
      </w:r>
      <w:r w:rsidR="00C15F90" w:rsidRPr="002C7A5A">
        <w:rPr>
          <w:rFonts w:cs="Times New Roman"/>
        </w:rPr>
        <w:t xml:space="preserve"> </w:t>
      </w:r>
      <w:r w:rsidRPr="002C7A5A">
        <w:rPr>
          <w:rFonts w:cs="Times New Roman"/>
        </w:rPr>
        <w:t xml:space="preserve">measure. </w:t>
      </w:r>
    </w:p>
    <w:p w14:paraId="4D088AA8" w14:textId="34EF833C" w:rsidR="00615CAD" w:rsidRDefault="00615CAD" w:rsidP="00B74623">
      <w:pPr>
        <w:pStyle w:val="Heading3"/>
        <w:ind w:left="0"/>
      </w:pPr>
      <w:r w:rsidRPr="000B1BE7">
        <w:t>Who participated in the</w:t>
      </w:r>
      <w:r w:rsidR="00B725C0" w:rsidRPr="000B1BE7">
        <w:t xml:space="preserve"> study?</w:t>
      </w:r>
    </w:p>
    <w:p w14:paraId="3D6493F6" w14:textId="65991D52" w:rsidR="002D67D3" w:rsidRPr="002C7A5A" w:rsidRDefault="002D67D3" w:rsidP="002C7A5A">
      <w:pPr>
        <w:autoSpaceDE w:val="0"/>
        <w:autoSpaceDN w:val="0"/>
        <w:adjustRightInd w:val="0"/>
        <w:spacing w:before="0" w:after="0" w:line="240" w:lineRule="auto"/>
        <w:rPr>
          <w:rFonts w:cs="Times New Roman"/>
        </w:rPr>
      </w:pPr>
      <w:r w:rsidRPr="002C7A5A">
        <w:t>This study included 220 individuals with traumatic SCI from the Spinal Cord Injury Model Systems database. To be included, participants had to be an inpatient rehabilitation admission, diagnosed with a TBI, 18 years old or older, able to speak English, and have the cognitive ability to complete the assessment.</w:t>
      </w:r>
      <w:r w:rsidR="003756E2" w:rsidRPr="002C7A5A">
        <w:t xml:space="preserve"> The participant </w:t>
      </w:r>
      <w:r w:rsidR="002C7A5A" w:rsidRPr="002C7A5A">
        <w:t>descriptive</w:t>
      </w:r>
      <w:r w:rsidR="003756E2" w:rsidRPr="002C7A5A">
        <w:t xml:space="preserve"> included: </w:t>
      </w:r>
      <w:r w:rsidR="003756E2" w:rsidRPr="002C7A5A">
        <w:rPr>
          <w:rFonts w:cs="Times New Roman"/>
        </w:rPr>
        <w:t xml:space="preserve">46% who had paraplegia, 76% male, 57% used a manual wheelchair, 38% used a power wheelchair, 30% were ambulatory. </w:t>
      </w:r>
    </w:p>
    <w:p w14:paraId="5A791BB4" w14:textId="396FBE58" w:rsidR="00615CAD" w:rsidRDefault="00615CAD" w:rsidP="00B74623">
      <w:pPr>
        <w:pStyle w:val="Heading3"/>
        <w:ind w:left="0"/>
      </w:pPr>
      <w:r w:rsidRPr="00FA28FF">
        <w:t>How was the study conducted?</w:t>
      </w:r>
    </w:p>
    <w:p w14:paraId="0EE61189" w14:textId="5F7E2009" w:rsidR="00931326" w:rsidRDefault="00931326" w:rsidP="002C7A5A">
      <w:pPr>
        <w:autoSpaceDE w:val="0"/>
        <w:autoSpaceDN w:val="0"/>
        <w:adjustRightInd w:val="0"/>
        <w:spacing w:before="0" w:after="0" w:line="240" w:lineRule="auto"/>
        <w:rPr>
          <w:rFonts w:cs="Calibri"/>
        </w:rPr>
      </w:pPr>
      <w:r w:rsidRPr="002C7A5A">
        <w:rPr>
          <w:rFonts w:eastAsia="Calibri" w:cs="Calibri"/>
        </w:rPr>
        <w:t xml:space="preserve">Data </w:t>
      </w:r>
      <w:r w:rsidR="00FB2C66" w:rsidRPr="002C7A5A">
        <w:rPr>
          <w:rFonts w:eastAsia="Calibri" w:cs="Calibri"/>
        </w:rPr>
        <w:t xml:space="preserve">were </w:t>
      </w:r>
      <w:r w:rsidRPr="002C7A5A">
        <w:rPr>
          <w:rFonts w:eastAsia="Calibri" w:cs="Calibri"/>
        </w:rPr>
        <w:t>collected through in-person or phone interviews. Baseline assessments were collected within six days of discharge and follow-up data w</w:t>
      </w:r>
      <w:r w:rsidR="000A354D" w:rsidRPr="002C7A5A">
        <w:rPr>
          <w:rFonts w:eastAsia="Calibri" w:cs="Calibri"/>
        </w:rPr>
        <w:t>ere</w:t>
      </w:r>
      <w:r w:rsidRPr="002C7A5A">
        <w:rPr>
          <w:rFonts w:eastAsia="Calibri" w:cs="Calibri"/>
        </w:rPr>
        <w:t xml:space="preserve"> collected from a 6 to </w:t>
      </w:r>
      <w:r w:rsidR="002C7A5A" w:rsidRPr="002C7A5A">
        <w:rPr>
          <w:rFonts w:eastAsia="Calibri" w:cs="Calibri"/>
        </w:rPr>
        <w:t>12-month</w:t>
      </w:r>
      <w:r w:rsidRPr="002C7A5A">
        <w:rPr>
          <w:rFonts w:eastAsia="Calibri" w:cs="Calibri"/>
        </w:rPr>
        <w:t xml:space="preserve"> window based on the date of injury. </w:t>
      </w:r>
      <w:r w:rsidR="00420213" w:rsidRPr="002C7A5A">
        <w:rPr>
          <w:rFonts w:cs="Calibri"/>
        </w:rPr>
        <w:t xml:space="preserve">Chi-square and T-tests were used to evaluate differences in </w:t>
      </w:r>
      <w:r w:rsidR="006A68FA" w:rsidRPr="002C7A5A">
        <w:rPr>
          <w:rFonts w:cs="Calibri"/>
        </w:rPr>
        <w:t>items of interest</w:t>
      </w:r>
      <w:r w:rsidR="00BD47A4" w:rsidRPr="002C7A5A">
        <w:rPr>
          <w:rFonts w:cs="Calibri"/>
        </w:rPr>
        <w:t xml:space="preserve"> which included </w:t>
      </w:r>
      <w:r w:rsidR="00BD47A4" w:rsidRPr="002C7A5A">
        <w:rPr>
          <w:rFonts w:cs="Times New Roman"/>
        </w:rPr>
        <w:t>Basic Mobility, Self-Care, Fine Motor Function</w:t>
      </w:r>
      <w:r w:rsidR="005D2823" w:rsidRPr="002C7A5A">
        <w:rPr>
          <w:rFonts w:cs="Times New Roman"/>
        </w:rPr>
        <w:t xml:space="preserve">, </w:t>
      </w:r>
      <w:r w:rsidR="00BD47A4" w:rsidRPr="002C7A5A">
        <w:rPr>
          <w:rFonts w:cs="Times New Roman"/>
        </w:rPr>
        <w:t>Wheelchair Mobility, and/or Ambulation</w:t>
      </w:r>
      <w:r w:rsidR="005D2823" w:rsidRPr="002C7A5A">
        <w:rPr>
          <w:rFonts w:cs="Times New Roman"/>
        </w:rPr>
        <w:t>.</w:t>
      </w:r>
      <w:r w:rsidR="00420213" w:rsidRPr="002C7A5A">
        <w:rPr>
          <w:rFonts w:cs="Calibri"/>
        </w:rPr>
        <w:t xml:space="preserve"> </w:t>
      </w:r>
      <w:r w:rsidR="00F30475" w:rsidRPr="002C7A5A">
        <w:rPr>
          <w:rFonts w:cs="Calibri"/>
        </w:rPr>
        <w:t>B</w:t>
      </w:r>
      <w:r w:rsidR="00420213" w:rsidRPr="002C7A5A">
        <w:rPr>
          <w:rFonts w:cs="Calibri"/>
        </w:rPr>
        <w:t>aseline SCI-FI/AT scores for those who completed follow-up vs. those who did not</w:t>
      </w:r>
      <w:r w:rsidR="00F30475" w:rsidRPr="002C7A5A">
        <w:rPr>
          <w:rFonts w:cs="Calibri"/>
        </w:rPr>
        <w:t xml:space="preserve"> </w:t>
      </w:r>
      <w:proofErr w:type="gramStart"/>
      <w:r w:rsidR="00F30475" w:rsidRPr="002C7A5A">
        <w:rPr>
          <w:rFonts w:cs="Calibri"/>
        </w:rPr>
        <w:t>were</w:t>
      </w:r>
      <w:r w:rsidR="00881BD8">
        <w:rPr>
          <w:rFonts w:cs="Calibri"/>
        </w:rPr>
        <w:t xml:space="preserve"> </w:t>
      </w:r>
      <w:r w:rsidR="00CE3CC1">
        <w:rPr>
          <w:rFonts w:cs="Calibri"/>
        </w:rPr>
        <w:t>not</w:t>
      </w:r>
      <w:proofErr w:type="gramEnd"/>
      <w:r w:rsidR="00CE3CC1">
        <w:rPr>
          <w:rFonts w:cs="Calibri"/>
        </w:rPr>
        <w:t xml:space="preserve"> significantly different </w:t>
      </w:r>
      <w:r w:rsidR="00881BD8">
        <w:rPr>
          <w:rFonts w:cs="Calibri"/>
        </w:rPr>
        <w:t>except for</w:t>
      </w:r>
      <w:r w:rsidR="00CE3CC1">
        <w:rPr>
          <w:rFonts w:cs="Calibri"/>
        </w:rPr>
        <w:t xml:space="preserve"> Ambulation domain scores, which were higher among persons with tetraplegia who were lost to follow up</w:t>
      </w:r>
      <w:r w:rsidR="00F30475" w:rsidRPr="002C7A5A">
        <w:rPr>
          <w:rFonts w:cs="Calibri"/>
        </w:rPr>
        <w:t>.</w:t>
      </w:r>
      <w:r w:rsidR="00B83CE3" w:rsidRPr="002C7A5A">
        <w:rPr>
          <w:rFonts w:cs="Calibri"/>
        </w:rPr>
        <w:t xml:space="preserve"> Participants with paraplegia and tetraplegia were analyzed separately.</w:t>
      </w:r>
      <w:r w:rsidR="00420213" w:rsidRPr="002C7A5A">
        <w:rPr>
          <w:rFonts w:cs="Calibri"/>
        </w:rPr>
        <w:t xml:space="preserve"> </w:t>
      </w:r>
      <w:r w:rsidR="00763B8A">
        <w:rPr>
          <w:rFonts w:cs="Calibri"/>
        </w:rPr>
        <w:t>The</w:t>
      </w:r>
      <w:r w:rsidR="00420213" w:rsidRPr="002C7A5A">
        <w:rPr>
          <w:rFonts w:cs="Calibri"/>
        </w:rPr>
        <w:t xml:space="preserve"> number of participants that</w:t>
      </w:r>
      <w:r w:rsidR="00763B8A">
        <w:rPr>
          <w:rFonts w:cs="Calibri"/>
        </w:rPr>
        <w:t xml:space="preserve"> achieved the minimal detectable change across each SCI-FI/AT domain were</w:t>
      </w:r>
      <w:r w:rsidR="00420213" w:rsidRPr="002C7A5A">
        <w:rPr>
          <w:rFonts w:cs="Calibri"/>
        </w:rPr>
        <w:t xml:space="preserve"> reported </w:t>
      </w:r>
      <w:r w:rsidR="00763B8A">
        <w:rPr>
          <w:rFonts w:cs="Calibri"/>
        </w:rPr>
        <w:t xml:space="preserve">to identify the proportion of individuals who experienced </w:t>
      </w:r>
      <w:r w:rsidR="00AE3750" w:rsidRPr="002C7A5A">
        <w:rPr>
          <w:rFonts w:cs="Calibri"/>
        </w:rPr>
        <w:t>“true” functional change</w:t>
      </w:r>
      <w:r w:rsidR="00763B8A">
        <w:rPr>
          <w:rFonts w:cs="Calibri"/>
        </w:rPr>
        <w:t xml:space="preserve"> during the follow-up period</w:t>
      </w:r>
      <w:r w:rsidR="00420213" w:rsidRPr="002C7A5A">
        <w:rPr>
          <w:rFonts w:cs="Calibri"/>
        </w:rPr>
        <w:t xml:space="preserve">. </w:t>
      </w:r>
    </w:p>
    <w:p w14:paraId="61111497" w14:textId="77777777" w:rsidR="002C7A5A" w:rsidRDefault="002C7A5A" w:rsidP="002C7A5A">
      <w:pPr>
        <w:pStyle w:val="Heading3"/>
        <w:ind w:left="0"/>
      </w:pPr>
      <w:r>
        <w:lastRenderedPageBreak/>
        <w:t>How can people use the results?</w:t>
      </w:r>
    </w:p>
    <w:p w14:paraId="674FDDA3" w14:textId="77777777" w:rsidR="002C7A5A" w:rsidRPr="003E05E9" w:rsidRDefault="002C7A5A" w:rsidP="002C7A5A">
      <w:pPr>
        <w:pStyle w:val="Heading3"/>
        <w:ind w:left="0"/>
        <w:rPr>
          <w:rFonts w:asciiTheme="minorHAnsi" w:hAnsiTheme="minorHAnsi"/>
          <w:b w:val="0"/>
          <w:color w:val="auto"/>
          <w:sz w:val="22"/>
          <w:szCs w:val="22"/>
        </w:rPr>
      </w:pPr>
      <w:r w:rsidRPr="003E05E9">
        <w:rPr>
          <w:rFonts w:asciiTheme="minorHAnsi" w:hAnsiTheme="minorHAnsi"/>
          <w:b w:val="0"/>
          <w:color w:val="auto"/>
          <w:sz w:val="22"/>
          <w:szCs w:val="22"/>
        </w:rPr>
        <w:t>Clinicians</w:t>
      </w:r>
      <w:r>
        <w:rPr>
          <w:rFonts w:asciiTheme="minorHAnsi" w:hAnsiTheme="minorHAnsi"/>
          <w:b w:val="0"/>
          <w:color w:val="auto"/>
          <w:sz w:val="22"/>
          <w:szCs w:val="22"/>
        </w:rPr>
        <w:t xml:space="preserve"> can use the results of this study to </w:t>
      </w:r>
      <w:r w:rsidRPr="003E05E9">
        <w:rPr>
          <w:rFonts w:asciiTheme="minorHAnsi" w:hAnsiTheme="minorHAnsi"/>
          <w:b w:val="0"/>
          <w:color w:val="auto"/>
          <w:sz w:val="22"/>
          <w:szCs w:val="22"/>
        </w:rPr>
        <w:t>become more informed</w:t>
      </w:r>
      <w:r>
        <w:rPr>
          <w:rFonts w:asciiTheme="minorHAnsi" w:hAnsiTheme="minorHAnsi"/>
          <w:b w:val="0"/>
          <w:color w:val="auto"/>
          <w:sz w:val="22"/>
          <w:szCs w:val="22"/>
        </w:rPr>
        <w:t xml:space="preserve"> on the efficcacy and use of </w:t>
      </w:r>
      <w:r w:rsidRPr="003E05E9">
        <w:rPr>
          <w:rFonts w:asciiTheme="minorHAnsi" w:hAnsiTheme="minorHAnsi"/>
          <w:b w:val="0"/>
          <w:color w:val="auto"/>
          <w:sz w:val="22"/>
          <w:szCs w:val="22"/>
        </w:rPr>
        <w:t>SCI-FI/AT CAT in the SCI population</w:t>
      </w:r>
      <w:r>
        <w:rPr>
          <w:rFonts w:asciiTheme="minorHAnsi" w:hAnsiTheme="minorHAnsi"/>
          <w:b w:val="0"/>
          <w:color w:val="auto"/>
          <w:sz w:val="22"/>
          <w:szCs w:val="22"/>
        </w:rPr>
        <w:t>.</w:t>
      </w:r>
    </w:p>
    <w:p w14:paraId="7DF6AEEC" w14:textId="77777777" w:rsidR="002C7A5A" w:rsidRDefault="002C7A5A" w:rsidP="002C7A5A">
      <w:pPr>
        <w:pStyle w:val="Heading3"/>
        <w:ind w:left="0"/>
      </w:pPr>
      <w:r>
        <w:t xml:space="preserve">Reference </w:t>
      </w:r>
    </w:p>
    <w:p w14:paraId="7BA18579" w14:textId="77777777" w:rsidR="002C7A5A" w:rsidRDefault="002C7A5A" w:rsidP="002C7A5A">
      <w:pPr>
        <w:rPr>
          <w:rFonts w:ascii="Arial Narrow" w:hAnsi="Arial Narrow"/>
          <w:color w:val="000000" w:themeColor="text1"/>
          <w:sz w:val="18"/>
          <w:szCs w:val="18"/>
        </w:rPr>
      </w:pPr>
      <w:r w:rsidRPr="003E05E9">
        <w:rPr>
          <w:rFonts w:ascii="Arial Narrow" w:hAnsi="Arial Narrow"/>
          <w:color w:val="000000" w:themeColor="text1"/>
          <w:sz w:val="18"/>
          <w:szCs w:val="18"/>
          <w:vertAlign w:val="superscript"/>
        </w:rPr>
        <w:t>1</w:t>
      </w:r>
      <w:r w:rsidRPr="003E05E9">
        <w:t xml:space="preserve"> </w:t>
      </w:r>
      <w:r w:rsidRPr="003E05E9">
        <w:rPr>
          <w:rFonts w:ascii="Arial Narrow" w:hAnsi="Arial Narrow"/>
          <w:color w:val="000000" w:themeColor="text1"/>
          <w:sz w:val="18"/>
          <w:szCs w:val="18"/>
        </w:rPr>
        <w:t xml:space="preserve">Keeney, T., </w:t>
      </w:r>
      <w:proofErr w:type="spellStart"/>
      <w:r w:rsidRPr="003E05E9">
        <w:rPr>
          <w:rFonts w:ascii="Arial Narrow" w:hAnsi="Arial Narrow"/>
          <w:color w:val="000000" w:themeColor="text1"/>
          <w:sz w:val="18"/>
          <w:szCs w:val="18"/>
        </w:rPr>
        <w:t>Slavin</w:t>
      </w:r>
      <w:proofErr w:type="spellEnd"/>
      <w:r w:rsidRPr="003E05E9">
        <w:rPr>
          <w:rFonts w:ascii="Arial Narrow" w:hAnsi="Arial Narrow"/>
          <w:color w:val="000000" w:themeColor="text1"/>
          <w:sz w:val="18"/>
          <w:szCs w:val="18"/>
        </w:rPr>
        <w:t xml:space="preserve">, M., </w:t>
      </w:r>
      <w:proofErr w:type="spellStart"/>
      <w:r w:rsidRPr="003E05E9">
        <w:rPr>
          <w:rFonts w:ascii="Arial Narrow" w:hAnsi="Arial Narrow"/>
          <w:color w:val="000000" w:themeColor="text1"/>
          <w:sz w:val="18"/>
          <w:szCs w:val="18"/>
        </w:rPr>
        <w:t>Kisala</w:t>
      </w:r>
      <w:proofErr w:type="spellEnd"/>
      <w:r w:rsidRPr="003E05E9">
        <w:rPr>
          <w:rFonts w:ascii="Arial Narrow" w:hAnsi="Arial Narrow"/>
          <w:color w:val="000000" w:themeColor="text1"/>
          <w:sz w:val="18"/>
          <w:szCs w:val="18"/>
        </w:rPr>
        <w:t xml:space="preserve">, P., Ni, P., Heinemann, A. W., </w:t>
      </w:r>
      <w:proofErr w:type="spellStart"/>
      <w:r w:rsidRPr="003E05E9">
        <w:rPr>
          <w:rFonts w:ascii="Arial Narrow" w:hAnsi="Arial Narrow"/>
          <w:color w:val="000000" w:themeColor="text1"/>
          <w:sz w:val="18"/>
          <w:szCs w:val="18"/>
        </w:rPr>
        <w:t>Charlifue</w:t>
      </w:r>
      <w:proofErr w:type="spellEnd"/>
      <w:r w:rsidRPr="003E05E9">
        <w:rPr>
          <w:rFonts w:ascii="Arial Narrow" w:hAnsi="Arial Narrow"/>
          <w:color w:val="000000" w:themeColor="text1"/>
          <w:sz w:val="18"/>
          <w:szCs w:val="18"/>
        </w:rPr>
        <w:t>, S., . . . Jette, A. M. (2018). Sensitivity of the SCI-FI/AT in Individuals with Injury Traumatic Spinal Cord. Archives of Physical Medicine and Rehabilitation, 99(9), 1783-1788.</w:t>
      </w:r>
    </w:p>
    <w:p w14:paraId="52DEAA1B" w14:textId="77777777" w:rsidR="002C7A5A" w:rsidRPr="002C7A5A" w:rsidRDefault="002C7A5A" w:rsidP="002C7A5A">
      <w:pPr>
        <w:autoSpaceDE w:val="0"/>
        <w:autoSpaceDN w:val="0"/>
        <w:adjustRightInd w:val="0"/>
        <w:spacing w:before="0" w:after="0" w:line="240" w:lineRule="auto"/>
        <w:rPr>
          <w:rFonts w:cs="Times New Roman"/>
        </w:rPr>
      </w:pPr>
    </w:p>
    <w:p w14:paraId="47C3EC67" w14:textId="77777777" w:rsidR="00D53A49" w:rsidRDefault="00D53A49" w:rsidP="00D53A49">
      <w:pPr>
        <w:jc w:val="center"/>
        <w:rPr>
          <w:rFonts w:ascii="Arial Narrow" w:hAnsi="Arial Narrow"/>
          <w:color w:val="000000" w:themeColor="text1"/>
          <w:sz w:val="18"/>
          <w:szCs w:val="18"/>
        </w:rPr>
      </w:pPr>
    </w:p>
    <w:p w14:paraId="7DC7CD14" w14:textId="2B506F20" w:rsidR="00F76745" w:rsidRPr="00D53A49" w:rsidRDefault="00D53A49" w:rsidP="00D53A49">
      <w:pPr>
        <w:jc w:val="cente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9F82" w14:textId="77777777" w:rsidR="00C06E61" w:rsidRDefault="00C06E61">
      <w:pPr>
        <w:spacing w:before="0" w:after="0" w:line="240" w:lineRule="auto"/>
      </w:pPr>
      <w:r>
        <w:separator/>
      </w:r>
    </w:p>
  </w:endnote>
  <w:endnote w:type="continuationSeparator" w:id="0">
    <w:p w14:paraId="4A1BE931" w14:textId="77777777" w:rsidR="00C06E61" w:rsidRDefault="00C06E61">
      <w:pPr>
        <w:spacing w:before="0" w:after="0" w:line="240" w:lineRule="auto"/>
      </w:pPr>
      <w:r>
        <w:continuationSeparator/>
      </w:r>
    </w:p>
  </w:endnote>
  <w:endnote w:type="continuationNotice" w:id="1">
    <w:p w14:paraId="10997B4F" w14:textId="77777777" w:rsidR="00C06E61" w:rsidRDefault="00C06E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154AD" w:rsidRPr="004C59F0" w:rsidRDefault="00C06E61"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ADFC" w14:textId="77777777" w:rsidR="00C06E61" w:rsidRPr="006C7FDE" w:rsidRDefault="00C06E61" w:rsidP="006C7FDE">
      <w:pPr>
        <w:pStyle w:val="Footer"/>
      </w:pPr>
    </w:p>
  </w:footnote>
  <w:footnote w:type="continuationSeparator" w:id="0">
    <w:p w14:paraId="42AD761E" w14:textId="77777777" w:rsidR="00C06E61" w:rsidRPr="006C7FDE" w:rsidRDefault="00C06E61" w:rsidP="006C7FDE">
      <w:pPr>
        <w:pStyle w:val="Footer"/>
      </w:pPr>
    </w:p>
  </w:footnote>
  <w:footnote w:type="continuationNotice" w:id="1">
    <w:p w14:paraId="78657BDD" w14:textId="77777777" w:rsidR="00C06E61" w:rsidRDefault="00C06E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40C12"/>
    <w:rsid w:val="00040F2A"/>
    <w:rsid w:val="0004123D"/>
    <w:rsid w:val="00057592"/>
    <w:rsid w:val="0007334C"/>
    <w:rsid w:val="0007540E"/>
    <w:rsid w:val="00080047"/>
    <w:rsid w:val="000A354D"/>
    <w:rsid w:val="000B1BE7"/>
    <w:rsid w:val="000B5474"/>
    <w:rsid w:val="000C63F6"/>
    <w:rsid w:val="00101253"/>
    <w:rsid w:val="00105E82"/>
    <w:rsid w:val="00113EDB"/>
    <w:rsid w:val="00117A90"/>
    <w:rsid w:val="001268A0"/>
    <w:rsid w:val="001273C6"/>
    <w:rsid w:val="00127E75"/>
    <w:rsid w:val="001337EF"/>
    <w:rsid w:val="00147988"/>
    <w:rsid w:val="00154DC8"/>
    <w:rsid w:val="00157858"/>
    <w:rsid w:val="001725AA"/>
    <w:rsid w:val="00183D6A"/>
    <w:rsid w:val="001879E2"/>
    <w:rsid w:val="001B4D9E"/>
    <w:rsid w:val="001D2DE7"/>
    <w:rsid w:val="001E236C"/>
    <w:rsid w:val="001F5587"/>
    <w:rsid w:val="001F76F2"/>
    <w:rsid w:val="002354F0"/>
    <w:rsid w:val="00254C38"/>
    <w:rsid w:val="00264ECC"/>
    <w:rsid w:val="00265393"/>
    <w:rsid w:val="00265ED2"/>
    <w:rsid w:val="00270784"/>
    <w:rsid w:val="002730BC"/>
    <w:rsid w:val="002A5E48"/>
    <w:rsid w:val="002A7453"/>
    <w:rsid w:val="002B097A"/>
    <w:rsid w:val="002C7A5A"/>
    <w:rsid w:val="002D4BE0"/>
    <w:rsid w:val="002D67D3"/>
    <w:rsid w:val="002E08B7"/>
    <w:rsid w:val="002E2116"/>
    <w:rsid w:val="002E3CBE"/>
    <w:rsid w:val="002E5577"/>
    <w:rsid w:val="00317B84"/>
    <w:rsid w:val="00321A6B"/>
    <w:rsid w:val="00322FCA"/>
    <w:rsid w:val="00333107"/>
    <w:rsid w:val="00346CD8"/>
    <w:rsid w:val="003756E2"/>
    <w:rsid w:val="00380DCF"/>
    <w:rsid w:val="003812EA"/>
    <w:rsid w:val="00387B3F"/>
    <w:rsid w:val="003D451D"/>
    <w:rsid w:val="00420213"/>
    <w:rsid w:val="00423930"/>
    <w:rsid w:val="0043355B"/>
    <w:rsid w:val="00435E44"/>
    <w:rsid w:val="00445D1A"/>
    <w:rsid w:val="004663F7"/>
    <w:rsid w:val="004709C0"/>
    <w:rsid w:val="00481C3B"/>
    <w:rsid w:val="0048389B"/>
    <w:rsid w:val="00486F57"/>
    <w:rsid w:val="004B3B8B"/>
    <w:rsid w:val="004B4346"/>
    <w:rsid w:val="004B53C9"/>
    <w:rsid w:val="004B71D3"/>
    <w:rsid w:val="004C59F0"/>
    <w:rsid w:val="004C6036"/>
    <w:rsid w:val="004F7772"/>
    <w:rsid w:val="00522108"/>
    <w:rsid w:val="00522258"/>
    <w:rsid w:val="00525A6A"/>
    <w:rsid w:val="005439A8"/>
    <w:rsid w:val="00557B58"/>
    <w:rsid w:val="005C3438"/>
    <w:rsid w:val="005D2332"/>
    <w:rsid w:val="005D2823"/>
    <w:rsid w:val="005D60BF"/>
    <w:rsid w:val="005E4EE1"/>
    <w:rsid w:val="005F10B9"/>
    <w:rsid w:val="00611B8D"/>
    <w:rsid w:val="00615CAD"/>
    <w:rsid w:val="0062330D"/>
    <w:rsid w:val="0064519B"/>
    <w:rsid w:val="0066558D"/>
    <w:rsid w:val="00673FEA"/>
    <w:rsid w:val="00675B32"/>
    <w:rsid w:val="006A68FA"/>
    <w:rsid w:val="006C7FDE"/>
    <w:rsid w:val="006E1CAF"/>
    <w:rsid w:val="006E6158"/>
    <w:rsid w:val="006F7D09"/>
    <w:rsid w:val="007034C5"/>
    <w:rsid w:val="00711468"/>
    <w:rsid w:val="007126B2"/>
    <w:rsid w:val="00726246"/>
    <w:rsid w:val="00736FCA"/>
    <w:rsid w:val="007462F3"/>
    <w:rsid w:val="00747B7B"/>
    <w:rsid w:val="00763B8A"/>
    <w:rsid w:val="00777305"/>
    <w:rsid w:val="007910FA"/>
    <w:rsid w:val="00793240"/>
    <w:rsid w:val="007B17CB"/>
    <w:rsid w:val="007B64E2"/>
    <w:rsid w:val="007C71D6"/>
    <w:rsid w:val="007E1081"/>
    <w:rsid w:val="007E6A41"/>
    <w:rsid w:val="008034F6"/>
    <w:rsid w:val="00835888"/>
    <w:rsid w:val="0084779C"/>
    <w:rsid w:val="008567C5"/>
    <w:rsid w:val="00861210"/>
    <w:rsid w:val="00862E17"/>
    <w:rsid w:val="0086399D"/>
    <w:rsid w:val="00864AFC"/>
    <w:rsid w:val="00881BD8"/>
    <w:rsid w:val="008D6A74"/>
    <w:rsid w:val="008E1871"/>
    <w:rsid w:val="008E4513"/>
    <w:rsid w:val="008F1C67"/>
    <w:rsid w:val="008F230B"/>
    <w:rsid w:val="008F52C9"/>
    <w:rsid w:val="00914608"/>
    <w:rsid w:val="009154AD"/>
    <w:rsid w:val="009161F5"/>
    <w:rsid w:val="009216E0"/>
    <w:rsid w:val="00925EF3"/>
    <w:rsid w:val="00931326"/>
    <w:rsid w:val="0093330A"/>
    <w:rsid w:val="0093353B"/>
    <w:rsid w:val="0097551C"/>
    <w:rsid w:val="009A27B9"/>
    <w:rsid w:val="009D05E2"/>
    <w:rsid w:val="009D6CB7"/>
    <w:rsid w:val="009F7207"/>
    <w:rsid w:val="00A138CB"/>
    <w:rsid w:val="00A34025"/>
    <w:rsid w:val="00A3453C"/>
    <w:rsid w:val="00A570FB"/>
    <w:rsid w:val="00A76007"/>
    <w:rsid w:val="00A83B89"/>
    <w:rsid w:val="00A84241"/>
    <w:rsid w:val="00AA1093"/>
    <w:rsid w:val="00AB3647"/>
    <w:rsid w:val="00AB56C4"/>
    <w:rsid w:val="00AC0EF0"/>
    <w:rsid w:val="00AD689F"/>
    <w:rsid w:val="00AE3750"/>
    <w:rsid w:val="00AE5027"/>
    <w:rsid w:val="00B329BC"/>
    <w:rsid w:val="00B5367C"/>
    <w:rsid w:val="00B5526D"/>
    <w:rsid w:val="00B711C2"/>
    <w:rsid w:val="00B725C0"/>
    <w:rsid w:val="00B74623"/>
    <w:rsid w:val="00B7633C"/>
    <w:rsid w:val="00B803C6"/>
    <w:rsid w:val="00B83CE3"/>
    <w:rsid w:val="00B90539"/>
    <w:rsid w:val="00B9788A"/>
    <w:rsid w:val="00BA191F"/>
    <w:rsid w:val="00BD4473"/>
    <w:rsid w:val="00BD47A4"/>
    <w:rsid w:val="00BD51FF"/>
    <w:rsid w:val="00C06E61"/>
    <w:rsid w:val="00C15F90"/>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E3CC1"/>
    <w:rsid w:val="00CF74D8"/>
    <w:rsid w:val="00D0785A"/>
    <w:rsid w:val="00D1699C"/>
    <w:rsid w:val="00D202B9"/>
    <w:rsid w:val="00D216F1"/>
    <w:rsid w:val="00D22F4B"/>
    <w:rsid w:val="00D41DF4"/>
    <w:rsid w:val="00D45567"/>
    <w:rsid w:val="00D53A49"/>
    <w:rsid w:val="00D558F8"/>
    <w:rsid w:val="00D559E9"/>
    <w:rsid w:val="00D61860"/>
    <w:rsid w:val="00D81619"/>
    <w:rsid w:val="00D84037"/>
    <w:rsid w:val="00DA5EC0"/>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30475"/>
    <w:rsid w:val="00F57594"/>
    <w:rsid w:val="00F76745"/>
    <w:rsid w:val="00F831BD"/>
    <w:rsid w:val="00FA28FF"/>
    <w:rsid w:val="00FB2C66"/>
    <w:rsid w:val="00FD0457"/>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98308B-5CEE-4EB8-9796-A78E2AEB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2020-06-25T19:50:00Z</dcterms:created>
  <dcterms:modified xsi:type="dcterms:W3CDTF">2020-06-25T19:50:00Z</dcterms:modified>
</cp:coreProperties>
</file>