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bookmarkStart w:id="0" w:name="_GoBack"/>
      <w:bookmarkEnd w:id="0"/>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074C21FB" w14:textId="3B1B8D49" w:rsidR="00F76745" w:rsidRPr="00435E44" w:rsidRDefault="00B74623" w:rsidP="00435E44">
      <w:pPr>
        <w:pStyle w:val="Heading2"/>
        <w:spacing w:before="480"/>
        <w:rPr>
          <w:vertAlign w:val="superscript"/>
        </w:rPr>
      </w:pPr>
      <w:r>
        <w:t>Detecting malingering in traumatic brain injury: combining response time with performance validity test accuracy</w:t>
      </w:r>
      <w:r w:rsidR="00A138CB" w:rsidRPr="00726246">
        <w:rPr>
          <w:vertAlign w:val="superscript"/>
        </w:rPr>
        <w:t>1</w:t>
      </w:r>
    </w:p>
    <w:p w14:paraId="52E59DE8" w14:textId="0DBA6EDE" w:rsidR="00615CAD" w:rsidRDefault="00615CAD" w:rsidP="009D6CB7">
      <w:pPr>
        <w:pStyle w:val="Heading3"/>
        <w:spacing w:before="360"/>
        <w:ind w:left="0"/>
      </w:pPr>
      <w:r w:rsidRPr="00FA28FF">
        <w:t>What is</w:t>
      </w:r>
      <w:r w:rsidRPr="00615CAD">
        <w:t xml:space="preserve"> th</w:t>
      </w:r>
      <w:r w:rsidR="00B725C0">
        <w:t>e study about?</w:t>
      </w:r>
    </w:p>
    <w:p w14:paraId="4D7B0D25" w14:textId="784376AD" w:rsidR="00B74623" w:rsidRPr="00627ABA" w:rsidRDefault="00B74623" w:rsidP="00B74623">
      <w:pPr>
        <w:rPr>
          <w:rFonts w:ascii="Arial Narrow" w:hAnsi="Arial Narrow"/>
        </w:rPr>
      </w:pPr>
      <w:r w:rsidRPr="00627ABA">
        <w:rPr>
          <w:rFonts w:ascii="Arial Narrow" w:hAnsi="Arial Narrow"/>
        </w:rPr>
        <w:t>There is strong evidence that</w:t>
      </w:r>
      <w:r w:rsidR="00DC7E14">
        <w:rPr>
          <w:rFonts w:ascii="Arial Narrow" w:hAnsi="Arial Narrow"/>
        </w:rPr>
        <w:t xml:space="preserve"> when</w:t>
      </w:r>
      <w:r w:rsidRPr="00627ABA">
        <w:rPr>
          <w:rFonts w:ascii="Arial Narrow" w:hAnsi="Arial Narrow"/>
        </w:rPr>
        <w:t xml:space="preserve"> clinicians</w:t>
      </w:r>
      <w:r w:rsidR="00DC7E14" w:rsidRPr="00DC7E14">
        <w:rPr>
          <w:rFonts w:ascii="Arial Narrow" w:hAnsi="Arial Narrow"/>
        </w:rPr>
        <w:t xml:space="preserve"> </w:t>
      </w:r>
      <w:r w:rsidR="00DC7E14">
        <w:rPr>
          <w:rFonts w:ascii="Arial Narrow" w:hAnsi="Arial Narrow"/>
        </w:rPr>
        <w:t>use behavioral observations and information obtained through clinical interviews and medical records they</w:t>
      </w:r>
      <w:r w:rsidRPr="00627ABA">
        <w:rPr>
          <w:rFonts w:ascii="Arial Narrow" w:hAnsi="Arial Narrow"/>
        </w:rPr>
        <w:t xml:space="preserve"> </w:t>
      </w:r>
      <w:r w:rsidR="00D81619">
        <w:rPr>
          <w:rFonts w:ascii="Arial Narrow" w:hAnsi="Arial Narrow"/>
        </w:rPr>
        <w:t>do not</w:t>
      </w:r>
      <w:r w:rsidRPr="00627ABA">
        <w:rPr>
          <w:rFonts w:ascii="Arial Narrow" w:hAnsi="Arial Narrow"/>
        </w:rPr>
        <w:t xml:space="preserve"> predic</w:t>
      </w:r>
      <w:r w:rsidR="00DC7E14">
        <w:rPr>
          <w:rFonts w:ascii="Arial Narrow" w:hAnsi="Arial Narrow"/>
        </w:rPr>
        <w:t xml:space="preserve">t </w:t>
      </w:r>
      <w:r w:rsidR="00D81619">
        <w:rPr>
          <w:rFonts w:ascii="Arial Narrow" w:hAnsi="Arial Narrow"/>
        </w:rPr>
        <w:t xml:space="preserve">the validity of the </w:t>
      </w:r>
      <w:r w:rsidRPr="00627ABA">
        <w:rPr>
          <w:rFonts w:ascii="Arial Narrow" w:hAnsi="Arial Narrow"/>
        </w:rPr>
        <w:t xml:space="preserve">performance </w:t>
      </w:r>
      <w:r w:rsidR="00D81619">
        <w:rPr>
          <w:rFonts w:ascii="Arial Narrow" w:hAnsi="Arial Narrow"/>
        </w:rPr>
        <w:t xml:space="preserve">well </w:t>
      </w:r>
      <w:r w:rsidRPr="00627ABA">
        <w:rPr>
          <w:rFonts w:ascii="Arial Narrow" w:hAnsi="Arial Narrow"/>
        </w:rPr>
        <w:t>and</w:t>
      </w:r>
      <w:r w:rsidR="009D6CB7">
        <w:rPr>
          <w:rFonts w:ascii="Arial Narrow" w:hAnsi="Arial Narrow"/>
        </w:rPr>
        <w:t xml:space="preserve"> are</w:t>
      </w:r>
      <w:r w:rsidRPr="00627ABA">
        <w:rPr>
          <w:rFonts w:ascii="Arial Narrow" w:hAnsi="Arial Narrow"/>
        </w:rPr>
        <w:t xml:space="preserve"> particularly prone to false-positive errors in classification</w:t>
      </w:r>
      <w:r w:rsidR="00DC7E14">
        <w:rPr>
          <w:rFonts w:ascii="Arial Narrow" w:hAnsi="Arial Narrow"/>
        </w:rPr>
        <w:t xml:space="preserve">. </w:t>
      </w:r>
      <w:r w:rsidR="00D81619">
        <w:rPr>
          <w:rFonts w:ascii="Arial Narrow" w:hAnsi="Arial Narrow"/>
        </w:rPr>
        <w:t xml:space="preserve">It is important to be able to distinguish who truly has memory impairment from those who do not. It has been particularly difficult to reliably determine this. </w:t>
      </w:r>
      <w:r w:rsidRPr="00627ABA">
        <w:rPr>
          <w:rFonts w:ascii="Arial Narrow" w:hAnsi="Arial Narrow"/>
        </w:rPr>
        <w:t xml:space="preserve">This study </w:t>
      </w:r>
      <w:r w:rsidR="00481C3B">
        <w:rPr>
          <w:rFonts w:ascii="Arial Narrow" w:hAnsi="Arial Narrow"/>
        </w:rPr>
        <w:t xml:space="preserve">combined </w:t>
      </w:r>
      <w:r w:rsidR="00DC7E14">
        <w:rPr>
          <w:rFonts w:ascii="Arial Narrow" w:hAnsi="Arial Narrow"/>
        </w:rPr>
        <w:t xml:space="preserve">measures of </w:t>
      </w:r>
      <w:r w:rsidRPr="00627ABA">
        <w:rPr>
          <w:rFonts w:ascii="Arial Narrow" w:hAnsi="Arial Narrow"/>
        </w:rPr>
        <w:t xml:space="preserve">response time (RT) </w:t>
      </w:r>
      <w:r w:rsidR="00481C3B">
        <w:rPr>
          <w:rFonts w:ascii="Arial Narrow" w:hAnsi="Arial Narrow"/>
        </w:rPr>
        <w:t>with a test designed to identify individuals faking memory difficulties, known as a performance validity test (PVT)</w:t>
      </w:r>
      <w:r w:rsidR="00D81619">
        <w:rPr>
          <w:rFonts w:ascii="Arial Narrow" w:hAnsi="Arial Narrow"/>
        </w:rPr>
        <w:t xml:space="preserve">.  They compared test performance among 3 groups: </w:t>
      </w:r>
      <w:r w:rsidRPr="00627ABA">
        <w:rPr>
          <w:rFonts w:ascii="Arial Narrow" w:hAnsi="Arial Narrow"/>
        </w:rPr>
        <w:t xml:space="preserve"> adults with </w:t>
      </w:r>
      <w:r w:rsidR="001273C6" w:rsidRPr="001273C6">
        <w:rPr>
          <w:rFonts w:ascii="Arial Narrow" w:hAnsi="Arial Narrow"/>
        </w:rPr>
        <w:t>verified</w:t>
      </w:r>
      <w:r w:rsidRPr="00627ABA">
        <w:rPr>
          <w:rFonts w:ascii="Arial Narrow" w:hAnsi="Arial Narrow"/>
        </w:rPr>
        <w:t xml:space="preserve"> </w:t>
      </w:r>
      <w:r w:rsidR="009D6CB7">
        <w:rPr>
          <w:rFonts w:ascii="Arial Narrow" w:hAnsi="Arial Narrow"/>
        </w:rPr>
        <w:t>traumatic brain injuries (TBI)</w:t>
      </w:r>
      <w:r w:rsidR="00D81619">
        <w:rPr>
          <w:rFonts w:ascii="Arial Narrow" w:hAnsi="Arial Narrow"/>
        </w:rPr>
        <w:t>,</w:t>
      </w:r>
      <w:r w:rsidRPr="00627ABA">
        <w:rPr>
          <w:rFonts w:ascii="Arial Narrow" w:hAnsi="Arial Narrow"/>
        </w:rPr>
        <w:t xml:space="preserve"> </w:t>
      </w:r>
      <w:r w:rsidR="00481C3B">
        <w:rPr>
          <w:rFonts w:ascii="Arial Narrow" w:hAnsi="Arial Narrow"/>
        </w:rPr>
        <w:t xml:space="preserve">healthy </w:t>
      </w:r>
      <w:r w:rsidRPr="00627ABA">
        <w:rPr>
          <w:rFonts w:ascii="Arial Narrow" w:hAnsi="Arial Narrow"/>
        </w:rPr>
        <w:t xml:space="preserve">adults coached to </w:t>
      </w:r>
      <w:r w:rsidR="00DC7E14">
        <w:rPr>
          <w:rFonts w:ascii="Arial Narrow" w:hAnsi="Arial Narrow"/>
        </w:rPr>
        <w:t>pretend they had</w:t>
      </w:r>
      <w:r w:rsidRPr="00627ABA">
        <w:rPr>
          <w:rFonts w:ascii="Arial Narrow" w:hAnsi="Arial Narrow"/>
        </w:rPr>
        <w:t xml:space="preserve"> </w:t>
      </w:r>
      <w:r w:rsidR="00D81619">
        <w:rPr>
          <w:rFonts w:ascii="Arial Narrow" w:hAnsi="Arial Narrow"/>
        </w:rPr>
        <w:t>TBI and memory problems and a group of people without any neurological problems</w:t>
      </w:r>
      <w:r w:rsidR="00481C3B">
        <w:rPr>
          <w:rFonts w:ascii="Arial Narrow" w:hAnsi="Arial Narrow"/>
        </w:rPr>
        <w:t xml:space="preserve"> instructed to provide their best effort</w:t>
      </w:r>
      <w:r w:rsidR="00D81619">
        <w:rPr>
          <w:rFonts w:ascii="Arial Narrow" w:hAnsi="Arial Narrow"/>
        </w:rPr>
        <w:t xml:space="preserve">. </w:t>
      </w:r>
    </w:p>
    <w:p w14:paraId="4D088AA8" w14:textId="0EB24E0B" w:rsidR="00615CAD" w:rsidRDefault="00615CAD" w:rsidP="00B74623">
      <w:pPr>
        <w:pStyle w:val="Heading3"/>
        <w:ind w:left="0"/>
      </w:pPr>
      <w:r w:rsidRPr="000B1BE7">
        <w:t>Who participated in the</w:t>
      </w:r>
      <w:r w:rsidR="00B725C0" w:rsidRPr="000B1BE7">
        <w:t xml:space="preserve"> study?</w:t>
      </w:r>
    </w:p>
    <w:p w14:paraId="734E0207" w14:textId="04D83F14" w:rsidR="00B74623" w:rsidRPr="009D6CB7" w:rsidRDefault="00B74623" w:rsidP="009D6CB7">
      <w:pPr>
        <w:kinsoku w:val="0"/>
        <w:overflowPunct w:val="0"/>
        <w:spacing w:line="230" w:lineRule="auto"/>
        <w:ind w:right="391"/>
        <w:rPr>
          <w:rFonts w:ascii="Arial Narrow" w:hAnsi="Arial Narrow" w:cs="Arial"/>
          <w:color w:val="282323"/>
        </w:rPr>
      </w:pPr>
      <w:r w:rsidRPr="009D6CB7">
        <w:rPr>
          <w:rFonts w:ascii="Arial Narrow" w:hAnsi="Arial Narrow" w:cs="Arial"/>
          <w:color w:val="282323"/>
        </w:rPr>
        <w:t xml:space="preserve">Participants (n=151) included 45 adults with </w:t>
      </w:r>
      <w:r w:rsidR="004B4346">
        <w:rPr>
          <w:rFonts w:ascii="Arial Narrow" w:hAnsi="Arial Narrow" w:cs="Arial"/>
          <w:color w:val="282323"/>
        </w:rPr>
        <w:t xml:space="preserve">moderate to severe </w:t>
      </w:r>
      <w:r w:rsidRPr="009D6CB7">
        <w:rPr>
          <w:rFonts w:ascii="Arial Narrow" w:hAnsi="Arial Narrow" w:cs="Arial"/>
          <w:color w:val="282323"/>
        </w:rPr>
        <w:t xml:space="preserve">verified TBI, who were at least </w:t>
      </w:r>
      <w:r w:rsidR="001273C6" w:rsidRPr="009D6CB7">
        <w:rPr>
          <w:rFonts w:ascii="Arial Narrow" w:hAnsi="Arial Narrow" w:cs="Arial"/>
          <w:color w:val="282323"/>
        </w:rPr>
        <w:t>one-year</w:t>
      </w:r>
      <w:r w:rsidRPr="009D6CB7">
        <w:rPr>
          <w:rFonts w:ascii="Arial Narrow" w:hAnsi="Arial Narrow" w:cs="Arial"/>
          <w:color w:val="282323"/>
        </w:rPr>
        <w:t xml:space="preserve"> post-injury and able to participate in a</w:t>
      </w:r>
      <w:r w:rsidR="00435E44">
        <w:rPr>
          <w:rFonts w:ascii="Arial Narrow" w:hAnsi="Arial Narrow" w:cs="Arial"/>
          <w:color w:val="282323"/>
        </w:rPr>
        <w:t>n</w:t>
      </w:r>
      <w:r w:rsidRPr="009D6CB7">
        <w:rPr>
          <w:rFonts w:ascii="Arial Narrow" w:hAnsi="Arial Narrow" w:cs="Arial"/>
          <w:color w:val="282323"/>
        </w:rPr>
        <w:t xml:space="preserve"> assessment, </w:t>
      </w:r>
      <w:r w:rsidR="004B4346">
        <w:rPr>
          <w:rFonts w:ascii="Arial Narrow" w:hAnsi="Arial Narrow" w:cs="Arial"/>
          <w:color w:val="282323"/>
        </w:rPr>
        <w:t>45 adults who were coached to pretend they had TBI</w:t>
      </w:r>
      <w:r w:rsidR="00481C3B">
        <w:rPr>
          <w:rFonts w:ascii="Arial Narrow" w:hAnsi="Arial Narrow" w:cs="Arial"/>
          <w:color w:val="282323"/>
        </w:rPr>
        <w:t xml:space="preserve">, </w:t>
      </w:r>
      <w:r w:rsidR="00435E44">
        <w:rPr>
          <w:rFonts w:ascii="Arial Narrow" w:hAnsi="Arial Narrow" w:cs="Arial"/>
          <w:color w:val="282323"/>
        </w:rPr>
        <w:t xml:space="preserve">and </w:t>
      </w:r>
      <w:r w:rsidR="00435E44" w:rsidRPr="009D6CB7">
        <w:rPr>
          <w:rFonts w:ascii="Arial Narrow" w:hAnsi="Arial Narrow" w:cs="Arial"/>
          <w:color w:val="282323"/>
        </w:rPr>
        <w:t>61</w:t>
      </w:r>
      <w:r w:rsidR="004B4346">
        <w:rPr>
          <w:rFonts w:ascii="Arial Narrow" w:hAnsi="Arial Narrow" w:cs="Arial"/>
          <w:color w:val="282323"/>
        </w:rPr>
        <w:t xml:space="preserve"> </w:t>
      </w:r>
      <w:r w:rsidRPr="009D6CB7">
        <w:rPr>
          <w:rFonts w:ascii="Arial Narrow" w:hAnsi="Arial Narrow" w:cs="Arial"/>
          <w:color w:val="282323"/>
        </w:rPr>
        <w:t xml:space="preserve">neurologically healthy adults. All participants </w:t>
      </w:r>
      <w:r w:rsidR="00481C3B">
        <w:rPr>
          <w:rFonts w:ascii="Arial Narrow" w:hAnsi="Arial Narrow" w:cs="Arial"/>
          <w:color w:val="282323"/>
        </w:rPr>
        <w:t>spoke</w:t>
      </w:r>
      <w:r w:rsidR="00481C3B" w:rsidRPr="009D6CB7">
        <w:rPr>
          <w:rFonts w:ascii="Arial Narrow" w:hAnsi="Arial Narrow" w:cs="Arial"/>
          <w:color w:val="282323"/>
        </w:rPr>
        <w:t xml:space="preserve"> </w:t>
      </w:r>
      <w:r w:rsidRPr="009D6CB7">
        <w:rPr>
          <w:rFonts w:ascii="Arial Narrow" w:hAnsi="Arial Narrow" w:cs="Arial"/>
          <w:color w:val="282323"/>
        </w:rPr>
        <w:t xml:space="preserve">English as their primary language. </w:t>
      </w:r>
    </w:p>
    <w:p w14:paraId="5A791BB4" w14:textId="2066DA59" w:rsidR="00615CAD" w:rsidRDefault="00615CAD" w:rsidP="00B74623">
      <w:pPr>
        <w:pStyle w:val="Heading3"/>
        <w:ind w:left="0"/>
      </w:pPr>
      <w:r w:rsidRPr="00FA28FF">
        <w:t>How was the study conducted?</w:t>
      </w:r>
    </w:p>
    <w:p w14:paraId="5A6D3A8C" w14:textId="4E613A22" w:rsidR="00B74623" w:rsidRPr="00627ABA" w:rsidRDefault="00435E44" w:rsidP="00B74623">
      <w:pPr>
        <w:rPr>
          <w:rFonts w:ascii="Arial Narrow" w:hAnsi="Arial Narrow"/>
        </w:rPr>
      </w:pPr>
      <w:r>
        <w:rPr>
          <w:rFonts w:ascii="Arial Narrow" w:hAnsi="Arial Narrow"/>
        </w:rPr>
        <w:t xml:space="preserve">Participants were divided in </w:t>
      </w:r>
      <w:r w:rsidR="00B74623" w:rsidRPr="00627ABA">
        <w:rPr>
          <w:rFonts w:ascii="Arial Narrow" w:hAnsi="Arial Narrow"/>
        </w:rPr>
        <w:t>to three groups: TBI Group, Healthy Compa</w:t>
      </w:r>
      <w:r w:rsidR="00DC7E14">
        <w:rPr>
          <w:rFonts w:ascii="Arial Narrow" w:hAnsi="Arial Narrow"/>
        </w:rPr>
        <w:t>r</w:t>
      </w:r>
      <w:r w:rsidR="00B74623" w:rsidRPr="00627ABA">
        <w:rPr>
          <w:rFonts w:ascii="Arial Narrow" w:hAnsi="Arial Narrow"/>
        </w:rPr>
        <w:t>ison Group (HC), and TBI Simulator Group (SIM). Participants in the TBI group had moderate to severe TBI, while the HC and SIM group consisted of neurologically healthy adults. Each group completed a computerized version of the Test of Memory Malingering (TOMM-C)</w:t>
      </w:r>
      <w:r w:rsidR="00040C12">
        <w:rPr>
          <w:rFonts w:ascii="Arial Narrow" w:hAnsi="Arial Narrow"/>
        </w:rPr>
        <w:t xml:space="preserve">, a standard test to assess whether the test-taker was </w:t>
      </w:r>
      <w:r w:rsidR="00481C3B">
        <w:rPr>
          <w:rFonts w:ascii="Arial Narrow" w:hAnsi="Arial Narrow"/>
        </w:rPr>
        <w:t>adequately engaged and responding honestly</w:t>
      </w:r>
      <w:r w:rsidR="002E2116">
        <w:rPr>
          <w:rFonts w:ascii="Arial Narrow" w:hAnsi="Arial Narrow"/>
        </w:rPr>
        <w:t xml:space="preserve"> amid a wider battery of tests to measure their memory and other cognitive measures</w:t>
      </w:r>
      <w:r w:rsidR="00040C12">
        <w:rPr>
          <w:rFonts w:ascii="Arial Narrow" w:hAnsi="Arial Narrow"/>
        </w:rPr>
        <w:t xml:space="preserve">. </w:t>
      </w:r>
      <w:r w:rsidR="00CF74D8">
        <w:rPr>
          <w:rFonts w:ascii="Arial Narrow" w:hAnsi="Arial Narrow"/>
        </w:rPr>
        <w:t>Response time and number of lengthy responses were measured for all participants.</w:t>
      </w:r>
      <w:r w:rsidR="002354F0">
        <w:rPr>
          <w:rFonts w:ascii="Arial Narrow" w:hAnsi="Arial Narrow"/>
        </w:rPr>
        <w:t xml:space="preserve"> The test was electronically administered.</w:t>
      </w:r>
    </w:p>
    <w:p w14:paraId="79857BDC" w14:textId="65811291" w:rsidR="00615CAD" w:rsidRDefault="00615CAD" w:rsidP="00B74623">
      <w:pPr>
        <w:pStyle w:val="Heading3"/>
        <w:ind w:left="0"/>
      </w:pPr>
      <w:r w:rsidRPr="00FA28FF">
        <w:t>What did the study find?</w:t>
      </w:r>
    </w:p>
    <w:p w14:paraId="23B2404F" w14:textId="4B4AC114" w:rsidR="00B74623" w:rsidRPr="00435E44" w:rsidRDefault="008E1871" w:rsidP="00B74623">
      <w:pPr>
        <w:rPr>
          <w:rFonts w:ascii="Arial Narrow" w:hAnsi="Arial Narrow"/>
        </w:rPr>
      </w:pPr>
      <w:r>
        <w:rPr>
          <w:rFonts w:ascii="Arial Narrow" w:hAnsi="Arial Narrow"/>
        </w:rPr>
        <w:t xml:space="preserve">The authors found that combining RT with </w:t>
      </w:r>
      <w:r w:rsidR="000B5474">
        <w:rPr>
          <w:rFonts w:ascii="Arial Narrow" w:hAnsi="Arial Narrow"/>
        </w:rPr>
        <w:t xml:space="preserve">PVTs distinguishes the healthy group from the SIM group, but </w:t>
      </w:r>
      <w:r w:rsidR="00611B8D">
        <w:rPr>
          <w:rFonts w:ascii="Arial Narrow" w:hAnsi="Arial Narrow"/>
        </w:rPr>
        <w:t>showed mixed results</w:t>
      </w:r>
      <w:r w:rsidR="000B5474">
        <w:rPr>
          <w:rFonts w:ascii="Arial Narrow" w:hAnsi="Arial Narrow"/>
        </w:rPr>
        <w:t xml:space="preserve"> distinguish</w:t>
      </w:r>
      <w:r w:rsidR="00611B8D">
        <w:rPr>
          <w:rFonts w:ascii="Arial Narrow" w:hAnsi="Arial Narrow"/>
        </w:rPr>
        <w:t>ing</w:t>
      </w:r>
      <w:r w:rsidR="000B5474">
        <w:rPr>
          <w:rFonts w:ascii="Arial Narrow" w:hAnsi="Arial Narrow"/>
        </w:rPr>
        <w:t xml:space="preserve"> the SIM group from the TBI. </w:t>
      </w:r>
      <w:r w:rsidR="00B74623" w:rsidRPr="00627ABA">
        <w:rPr>
          <w:rFonts w:ascii="Arial Narrow" w:hAnsi="Arial Narrow"/>
        </w:rPr>
        <w:t>Although several RT indices differed significantly across the groups, the study found that</w:t>
      </w:r>
      <w:r w:rsidR="001273C6">
        <w:rPr>
          <w:rFonts w:ascii="Arial Narrow" w:hAnsi="Arial Narrow"/>
        </w:rPr>
        <w:t xml:space="preserve"> </w:t>
      </w:r>
      <w:r w:rsidR="00B74623" w:rsidRPr="00627ABA">
        <w:rPr>
          <w:rFonts w:ascii="Arial Narrow" w:hAnsi="Arial Narrow"/>
        </w:rPr>
        <w:t xml:space="preserve">combining RT with TOMM-C </w:t>
      </w:r>
      <w:r w:rsidR="002354F0">
        <w:rPr>
          <w:rFonts w:ascii="Arial Narrow" w:hAnsi="Arial Narrow"/>
        </w:rPr>
        <w:t xml:space="preserve">may offer incremental improvement in classification </w:t>
      </w:r>
      <w:r w:rsidR="00B74623" w:rsidRPr="00627ABA">
        <w:rPr>
          <w:rFonts w:ascii="Arial Narrow" w:hAnsi="Arial Narrow"/>
        </w:rPr>
        <w:t>accuracy</w:t>
      </w:r>
      <w:r w:rsidR="00F76745">
        <w:rPr>
          <w:rFonts w:ascii="Arial Narrow" w:hAnsi="Arial Narrow"/>
        </w:rPr>
        <w:t xml:space="preserve"> </w:t>
      </w:r>
      <w:r w:rsidR="00E9057C">
        <w:rPr>
          <w:rFonts w:ascii="Arial Narrow" w:hAnsi="Arial Narrow"/>
        </w:rPr>
        <w:t>between</w:t>
      </w:r>
      <w:r w:rsidR="00F76745">
        <w:rPr>
          <w:rFonts w:ascii="Arial Narrow" w:hAnsi="Arial Narrow"/>
        </w:rPr>
        <w:t xml:space="preserve"> adults with genuine TBI from adults with feigned neurocognitive impairment</w:t>
      </w:r>
      <w:r w:rsidR="00CB236F">
        <w:rPr>
          <w:rFonts w:ascii="Arial Narrow" w:hAnsi="Arial Narrow"/>
        </w:rPr>
        <w:t>.</w:t>
      </w:r>
      <w:r w:rsidR="00777305">
        <w:rPr>
          <w:rFonts w:ascii="Arial Narrow" w:hAnsi="Arial Narrow"/>
        </w:rPr>
        <w:t xml:space="preserve"> The authors strongly recommend the use of electronic administration of the test, which they demonstrated to be feasible.</w:t>
      </w:r>
      <w:r w:rsidR="00611B8D">
        <w:rPr>
          <w:rFonts w:ascii="Arial Narrow" w:hAnsi="Arial Narrow"/>
        </w:rPr>
        <w:t xml:space="preserve"> </w:t>
      </w:r>
    </w:p>
    <w:p w14:paraId="17EF39A6" w14:textId="345B0395" w:rsidR="00F76745" w:rsidRDefault="00E7456F" w:rsidP="00B74623">
      <w:r w:rsidRPr="00435E44">
        <w:rPr>
          <w:sz w:val="18"/>
          <w:szCs w:val="18"/>
          <w:vertAlign w:val="superscript"/>
        </w:rPr>
        <w:t>1</w:t>
      </w:r>
      <w:r w:rsidRPr="00435E44">
        <w:rPr>
          <w:sz w:val="18"/>
          <w:szCs w:val="18"/>
        </w:rPr>
        <w:t xml:space="preserve"> Robert J, </w:t>
      </w:r>
      <w:proofErr w:type="spellStart"/>
      <w:r w:rsidRPr="00435E44">
        <w:rPr>
          <w:sz w:val="18"/>
          <w:szCs w:val="18"/>
        </w:rPr>
        <w:t>Kanser</w:t>
      </w:r>
      <w:proofErr w:type="spellEnd"/>
      <w:r w:rsidRPr="00435E44">
        <w:rPr>
          <w:sz w:val="18"/>
          <w:szCs w:val="18"/>
        </w:rPr>
        <w:t xml:space="preserve">, Lisa J, Rapport, Jesse R, </w:t>
      </w:r>
      <w:proofErr w:type="spellStart"/>
      <w:r w:rsidRPr="00435E44">
        <w:rPr>
          <w:sz w:val="18"/>
          <w:szCs w:val="18"/>
        </w:rPr>
        <w:t>Bashem</w:t>
      </w:r>
      <w:proofErr w:type="spellEnd"/>
      <w:r w:rsidRPr="00435E44">
        <w:rPr>
          <w:sz w:val="18"/>
          <w:szCs w:val="18"/>
        </w:rPr>
        <w:t xml:space="preserve"> &amp; Robin A. Hanks</w:t>
      </w:r>
      <w:r w:rsidR="005C3438" w:rsidRPr="00435E44">
        <w:rPr>
          <w:sz w:val="18"/>
          <w:szCs w:val="18"/>
        </w:rPr>
        <w:t xml:space="preserve"> (2018): Detecting malingering in traumatic brain injury: combining response time with performance validity test accuracy, The Clinical Neuropsychologist, DOI: 10,1080/13854046,2018,1440006</w:t>
      </w:r>
    </w:p>
    <w:p w14:paraId="47C3EC67" w14:textId="77777777" w:rsidR="00D53A49" w:rsidRDefault="00D53A49" w:rsidP="00D53A49">
      <w:pPr>
        <w:jc w:val="center"/>
        <w:rPr>
          <w:rFonts w:ascii="Arial Narrow" w:hAnsi="Arial Narrow"/>
          <w:color w:val="000000" w:themeColor="text1"/>
          <w:sz w:val="18"/>
          <w:szCs w:val="18"/>
        </w:rPr>
      </w:pPr>
    </w:p>
    <w:p w14:paraId="7DC7CD14" w14:textId="2B506F20" w:rsidR="00F76745" w:rsidRPr="00D53A49" w:rsidRDefault="00D53A49" w:rsidP="00D53A49">
      <w:pPr>
        <w:jc w:val="cente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CA3D" w14:textId="77777777" w:rsidR="00D1699C" w:rsidRDefault="00D1699C">
      <w:pPr>
        <w:spacing w:before="0" w:after="0" w:line="240" w:lineRule="auto"/>
      </w:pPr>
      <w:r>
        <w:separator/>
      </w:r>
    </w:p>
  </w:endnote>
  <w:endnote w:type="continuationSeparator" w:id="0">
    <w:p w14:paraId="3CBBC87D" w14:textId="77777777" w:rsidR="00D1699C" w:rsidRDefault="00D1699C">
      <w:pPr>
        <w:spacing w:before="0" w:after="0" w:line="240" w:lineRule="auto"/>
      </w:pPr>
      <w:r>
        <w:continuationSeparator/>
      </w:r>
    </w:p>
  </w:endnote>
  <w:endnote w:type="continuationNotice" w:id="1">
    <w:p w14:paraId="31D959FF" w14:textId="77777777" w:rsidR="00D1699C" w:rsidRDefault="00D169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9154AD" w:rsidRPr="004C59F0" w:rsidRDefault="00D1699C"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C59F0" w:rsidRPr="004C59F0">
        <w:rPr>
          <w:rStyle w:val="Hyperlink"/>
          <w:color w:val="FFFFFF" w:themeColor="background1"/>
          <w:u w:val="none"/>
        </w:rPr>
        <w:t>https://msktc.org/tbi</w:t>
      </w:r>
    </w:hyperlink>
    <w:r w:rsidR="004C59F0"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878C" w14:textId="77777777" w:rsidR="00D1699C" w:rsidRPr="006C7FDE" w:rsidRDefault="00D1699C" w:rsidP="006C7FDE">
      <w:pPr>
        <w:pStyle w:val="Footer"/>
      </w:pPr>
    </w:p>
  </w:footnote>
  <w:footnote w:type="continuationSeparator" w:id="0">
    <w:p w14:paraId="0C76B63E" w14:textId="77777777" w:rsidR="00D1699C" w:rsidRPr="006C7FDE" w:rsidRDefault="00D1699C" w:rsidP="006C7FDE">
      <w:pPr>
        <w:pStyle w:val="Footer"/>
      </w:pPr>
    </w:p>
  </w:footnote>
  <w:footnote w:type="continuationNotice" w:id="1">
    <w:p w14:paraId="701CBD78" w14:textId="77777777" w:rsidR="00D1699C" w:rsidRDefault="00D169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40C12"/>
    <w:rsid w:val="00040F2A"/>
    <w:rsid w:val="0004123D"/>
    <w:rsid w:val="00057592"/>
    <w:rsid w:val="0007334C"/>
    <w:rsid w:val="0007540E"/>
    <w:rsid w:val="00080047"/>
    <w:rsid w:val="000B1BE7"/>
    <w:rsid w:val="000B5474"/>
    <w:rsid w:val="000C63F6"/>
    <w:rsid w:val="00101253"/>
    <w:rsid w:val="00105E82"/>
    <w:rsid w:val="00113EDB"/>
    <w:rsid w:val="00117A90"/>
    <w:rsid w:val="001273C6"/>
    <w:rsid w:val="00127E75"/>
    <w:rsid w:val="001337EF"/>
    <w:rsid w:val="00147988"/>
    <w:rsid w:val="00154DC8"/>
    <w:rsid w:val="00157858"/>
    <w:rsid w:val="001725AA"/>
    <w:rsid w:val="00183D6A"/>
    <w:rsid w:val="001B4D9E"/>
    <w:rsid w:val="001D2DE7"/>
    <w:rsid w:val="001E236C"/>
    <w:rsid w:val="001F5587"/>
    <w:rsid w:val="002354F0"/>
    <w:rsid w:val="00254C38"/>
    <w:rsid w:val="00264ECC"/>
    <w:rsid w:val="00265393"/>
    <w:rsid w:val="00265ED2"/>
    <w:rsid w:val="00270784"/>
    <w:rsid w:val="002730BC"/>
    <w:rsid w:val="002A5E48"/>
    <w:rsid w:val="002A7453"/>
    <w:rsid w:val="002B097A"/>
    <w:rsid w:val="002E2116"/>
    <w:rsid w:val="002E3CBE"/>
    <w:rsid w:val="002E5577"/>
    <w:rsid w:val="00317B84"/>
    <w:rsid w:val="00321A6B"/>
    <w:rsid w:val="00322FCA"/>
    <w:rsid w:val="00346CD8"/>
    <w:rsid w:val="00380DCF"/>
    <w:rsid w:val="003812EA"/>
    <w:rsid w:val="00387B3F"/>
    <w:rsid w:val="003D451D"/>
    <w:rsid w:val="00423930"/>
    <w:rsid w:val="0043355B"/>
    <w:rsid w:val="00435E44"/>
    <w:rsid w:val="00445D1A"/>
    <w:rsid w:val="004663F7"/>
    <w:rsid w:val="004709C0"/>
    <w:rsid w:val="00481C3B"/>
    <w:rsid w:val="00486F57"/>
    <w:rsid w:val="004B3B8B"/>
    <w:rsid w:val="004B4346"/>
    <w:rsid w:val="004B53C9"/>
    <w:rsid w:val="004B71D3"/>
    <w:rsid w:val="004C59F0"/>
    <w:rsid w:val="004C6036"/>
    <w:rsid w:val="004F7772"/>
    <w:rsid w:val="00522108"/>
    <w:rsid w:val="00525A6A"/>
    <w:rsid w:val="005439A8"/>
    <w:rsid w:val="00557B58"/>
    <w:rsid w:val="005C3438"/>
    <w:rsid w:val="005D2332"/>
    <w:rsid w:val="00611B8D"/>
    <w:rsid w:val="00615CAD"/>
    <w:rsid w:val="0064519B"/>
    <w:rsid w:val="0066558D"/>
    <w:rsid w:val="00673FEA"/>
    <w:rsid w:val="00675B32"/>
    <w:rsid w:val="006C7FDE"/>
    <w:rsid w:val="006E1CAF"/>
    <w:rsid w:val="006E6158"/>
    <w:rsid w:val="006F7D09"/>
    <w:rsid w:val="007034C5"/>
    <w:rsid w:val="00711468"/>
    <w:rsid w:val="007126B2"/>
    <w:rsid w:val="00726246"/>
    <w:rsid w:val="00736FCA"/>
    <w:rsid w:val="00777305"/>
    <w:rsid w:val="00793240"/>
    <w:rsid w:val="007B17CB"/>
    <w:rsid w:val="007B64E2"/>
    <w:rsid w:val="007C71D6"/>
    <w:rsid w:val="007E1081"/>
    <w:rsid w:val="007E6A41"/>
    <w:rsid w:val="008034F6"/>
    <w:rsid w:val="00835888"/>
    <w:rsid w:val="0084779C"/>
    <w:rsid w:val="008567C5"/>
    <w:rsid w:val="00861210"/>
    <w:rsid w:val="00862E17"/>
    <w:rsid w:val="00864AFC"/>
    <w:rsid w:val="008D6A74"/>
    <w:rsid w:val="008E1871"/>
    <w:rsid w:val="008E4513"/>
    <w:rsid w:val="008F1C67"/>
    <w:rsid w:val="008F230B"/>
    <w:rsid w:val="008F52C9"/>
    <w:rsid w:val="00914608"/>
    <w:rsid w:val="009154AD"/>
    <w:rsid w:val="009161F5"/>
    <w:rsid w:val="009216E0"/>
    <w:rsid w:val="00925EF3"/>
    <w:rsid w:val="0093330A"/>
    <w:rsid w:val="0093353B"/>
    <w:rsid w:val="0097551C"/>
    <w:rsid w:val="009D05E2"/>
    <w:rsid w:val="009D6CB7"/>
    <w:rsid w:val="009F7207"/>
    <w:rsid w:val="00A138CB"/>
    <w:rsid w:val="00A34025"/>
    <w:rsid w:val="00A3453C"/>
    <w:rsid w:val="00A570FB"/>
    <w:rsid w:val="00A76007"/>
    <w:rsid w:val="00A83B89"/>
    <w:rsid w:val="00AA1093"/>
    <w:rsid w:val="00AB56C4"/>
    <w:rsid w:val="00AC0EF0"/>
    <w:rsid w:val="00AD689F"/>
    <w:rsid w:val="00AE5027"/>
    <w:rsid w:val="00B329BC"/>
    <w:rsid w:val="00B5367C"/>
    <w:rsid w:val="00B5526D"/>
    <w:rsid w:val="00B711C2"/>
    <w:rsid w:val="00B725C0"/>
    <w:rsid w:val="00B74623"/>
    <w:rsid w:val="00B7633C"/>
    <w:rsid w:val="00B803C6"/>
    <w:rsid w:val="00B90539"/>
    <w:rsid w:val="00B9788A"/>
    <w:rsid w:val="00BA191F"/>
    <w:rsid w:val="00BD51FF"/>
    <w:rsid w:val="00C22DFC"/>
    <w:rsid w:val="00C235C4"/>
    <w:rsid w:val="00C30ED8"/>
    <w:rsid w:val="00C467E9"/>
    <w:rsid w:val="00C52204"/>
    <w:rsid w:val="00C53CD9"/>
    <w:rsid w:val="00C60D9C"/>
    <w:rsid w:val="00C64EAE"/>
    <w:rsid w:val="00C81849"/>
    <w:rsid w:val="00C84DC0"/>
    <w:rsid w:val="00C8695F"/>
    <w:rsid w:val="00CA5E1C"/>
    <w:rsid w:val="00CB236F"/>
    <w:rsid w:val="00CD2712"/>
    <w:rsid w:val="00CF74D8"/>
    <w:rsid w:val="00D0785A"/>
    <w:rsid w:val="00D1699C"/>
    <w:rsid w:val="00D202B9"/>
    <w:rsid w:val="00D216F1"/>
    <w:rsid w:val="00D22F4B"/>
    <w:rsid w:val="00D41DF4"/>
    <w:rsid w:val="00D45567"/>
    <w:rsid w:val="00D53A49"/>
    <w:rsid w:val="00D559E9"/>
    <w:rsid w:val="00D61860"/>
    <w:rsid w:val="00D81619"/>
    <w:rsid w:val="00D84037"/>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9057C"/>
    <w:rsid w:val="00E95262"/>
    <w:rsid w:val="00EA2AAD"/>
    <w:rsid w:val="00EF4837"/>
    <w:rsid w:val="00EF53AC"/>
    <w:rsid w:val="00F04BE5"/>
    <w:rsid w:val="00F103AB"/>
    <w:rsid w:val="00F15167"/>
    <w:rsid w:val="00F17CEE"/>
    <w:rsid w:val="00F23D48"/>
    <w:rsid w:val="00F57594"/>
    <w:rsid w:val="00F76745"/>
    <w:rsid w:val="00F831BD"/>
    <w:rsid w:val="00FA28FF"/>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02AE81-6655-4A39-AA20-CF2C9632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Berdyyeva, Aynura</cp:lastModifiedBy>
  <cp:revision>3</cp:revision>
  <cp:lastPrinted>2014-09-23T15:34:00Z</cp:lastPrinted>
  <dcterms:created xsi:type="dcterms:W3CDTF">2018-11-20T17:12:00Z</dcterms:created>
  <dcterms:modified xsi:type="dcterms:W3CDTF">2018-11-26T16:35:00Z</dcterms:modified>
</cp:coreProperties>
</file>