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77777777" w:rsidR="00615CAD" w:rsidRPr="00615CAD" w:rsidRDefault="00615CAD" w:rsidP="00615CAD">
      <w:pPr>
        <w:pStyle w:val="Logo"/>
      </w:pPr>
      <w:bookmarkStart w:id="0" w:name="_GoBack"/>
      <w:bookmarkEnd w:id="0"/>
      <w:r w:rsidRPr="00FA28FF">
        <w:rPr>
          <w:noProof/>
        </w:rPr>
        <w:drawing>
          <wp:inline distT="0" distB="0" distL="0" distR="0" wp14:anchorId="729F1026" wp14:editId="5B3B7711">
            <wp:extent cx="2553335" cy="702310"/>
            <wp:effectExtent l="0" t="0" r="0" b="2540"/>
            <wp:docPr id="2" name="Picture 2" descr="This is the logo for Model Systems Knowledge Translation Center, funded by N I D R R and A I R." title=" MSK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MSLOGO_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335" cy="702310"/>
                    </a:xfrm>
                    <a:prstGeom prst="rect">
                      <a:avLst/>
                    </a:prstGeom>
                  </pic:spPr>
                </pic:pic>
              </a:graphicData>
            </a:graphic>
          </wp:inline>
        </w:drawing>
      </w:r>
    </w:p>
    <w:p w14:paraId="35DA8A81" w14:textId="2DEFEBB8" w:rsidR="00615CAD" w:rsidRPr="00B725C0" w:rsidRDefault="00B725C0" w:rsidP="004B3B8B">
      <w:pPr>
        <w:pStyle w:val="Heading1"/>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91900E6" w14:textId="3801618A" w:rsidR="00062EEB" w:rsidRDefault="00062EEB" w:rsidP="00062EEB">
      <w:pPr>
        <w:pStyle w:val="Heading3"/>
        <w:spacing w:before="360"/>
        <w:jc w:val="center"/>
        <w:rPr>
          <w:rFonts w:ascii="Arial" w:eastAsia="MS Gothic" w:hAnsi="Arial" w:cs="Calibri"/>
          <w:color w:val="CA602C"/>
          <w:sz w:val="28"/>
          <w:szCs w:val="32"/>
        </w:rPr>
      </w:pPr>
      <w:r w:rsidRPr="00062EEB">
        <w:rPr>
          <w:rFonts w:ascii="Arial" w:eastAsia="MS Gothic" w:hAnsi="Arial" w:cs="Calibri"/>
          <w:color w:val="CA602C"/>
          <w:sz w:val="28"/>
          <w:szCs w:val="32"/>
        </w:rPr>
        <w:t>Impact of Admission Imaging Findings on Neurological Outcomes in Acute Cervical Traumatic Spinal Cord Injury</w:t>
      </w:r>
      <w:r w:rsidR="008B474B" w:rsidRPr="008B474B">
        <w:rPr>
          <w:rFonts w:ascii="Arial" w:eastAsia="MS Gothic" w:hAnsi="Arial" w:cs="Calibri"/>
          <w:color w:val="CA602C"/>
          <w:sz w:val="28"/>
          <w:szCs w:val="32"/>
          <w:vertAlign w:val="superscript"/>
        </w:rPr>
        <w:t>1</w:t>
      </w:r>
    </w:p>
    <w:p w14:paraId="52E59DE8" w14:textId="61E49445" w:rsidR="00615CAD" w:rsidRPr="00FA28FF" w:rsidRDefault="00615CAD" w:rsidP="004B3B8B">
      <w:pPr>
        <w:pStyle w:val="Heading3"/>
        <w:spacing w:before="360"/>
      </w:pPr>
      <w:r w:rsidRPr="00FA28FF">
        <w:t>What is</w:t>
      </w:r>
      <w:r w:rsidRPr="00615CAD">
        <w:t xml:space="preserve"> th</w:t>
      </w:r>
      <w:r w:rsidR="00B725C0">
        <w:t>e study about?</w:t>
      </w:r>
    </w:p>
    <w:p w14:paraId="4D8A87D5" w14:textId="37E6EF5E" w:rsidR="00062EEB" w:rsidRDefault="00062EEB" w:rsidP="00062EEB">
      <w:pPr>
        <w:pStyle w:val="Heading3"/>
        <w:spacing w:before="0"/>
        <w:rPr>
          <w:rFonts w:eastAsiaTheme="minorHAnsi"/>
          <w:b w:val="0"/>
          <w:noProof w:val="0"/>
          <w:color w:val="auto"/>
          <w:sz w:val="22"/>
          <w:szCs w:val="20"/>
        </w:rPr>
      </w:pPr>
      <w:r w:rsidRPr="00062EEB">
        <w:rPr>
          <w:rFonts w:eastAsiaTheme="minorHAnsi"/>
          <w:b w:val="0"/>
          <w:noProof w:val="0"/>
          <w:color w:val="auto"/>
          <w:sz w:val="22"/>
          <w:szCs w:val="20"/>
        </w:rPr>
        <w:t>Spontaneous and unpredictable recovery can sometimes occur after acute cervical traumatic spinal cord injury (</w:t>
      </w:r>
      <w:proofErr w:type="spellStart"/>
      <w:r w:rsidRPr="00062EEB">
        <w:rPr>
          <w:rFonts w:eastAsiaTheme="minorHAnsi"/>
          <w:b w:val="0"/>
          <w:noProof w:val="0"/>
          <w:color w:val="auto"/>
          <w:sz w:val="22"/>
          <w:szCs w:val="20"/>
        </w:rPr>
        <w:t>tSCI</w:t>
      </w:r>
      <w:proofErr w:type="spellEnd"/>
      <w:r w:rsidRPr="00062EEB">
        <w:rPr>
          <w:rFonts w:eastAsiaTheme="minorHAnsi"/>
          <w:b w:val="0"/>
          <w:noProof w:val="0"/>
          <w:color w:val="auto"/>
          <w:sz w:val="22"/>
          <w:szCs w:val="20"/>
        </w:rPr>
        <w:t xml:space="preserve">). Because of this, baseline measures to predict neurologic recovery are often inaccurate. The aim of this study is to assess data from patients with acute cervical </w:t>
      </w:r>
      <w:proofErr w:type="spellStart"/>
      <w:r w:rsidRPr="00062EEB">
        <w:rPr>
          <w:rFonts w:eastAsiaTheme="minorHAnsi"/>
          <w:b w:val="0"/>
          <w:noProof w:val="0"/>
          <w:color w:val="auto"/>
          <w:sz w:val="22"/>
          <w:szCs w:val="20"/>
        </w:rPr>
        <w:t>tSCIs</w:t>
      </w:r>
      <w:proofErr w:type="spellEnd"/>
      <w:r w:rsidRPr="00062EEB">
        <w:rPr>
          <w:rFonts w:eastAsiaTheme="minorHAnsi"/>
          <w:b w:val="0"/>
          <w:noProof w:val="0"/>
          <w:color w:val="auto"/>
          <w:sz w:val="22"/>
          <w:szCs w:val="20"/>
        </w:rPr>
        <w:t xml:space="preserve"> to measure</w:t>
      </w:r>
      <w:r w:rsidR="00546FD2">
        <w:rPr>
          <w:rFonts w:eastAsiaTheme="minorHAnsi"/>
          <w:b w:val="0"/>
          <w:noProof w:val="0"/>
          <w:color w:val="auto"/>
          <w:sz w:val="22"/>
          <w:szCs w:val="20"/>
        </w:rPr>
        <w:t xml:space="preserve"> whether </w:t>
      </w:r>
      <w:r w:rsidRPr="00062EEB">
        <w:rPr>
          <w:rFonts w:eastAsiaTheme="minorHAnsi"/>
          <w:b w:val="0"/>
          <w:noProof w:val="0"/>
          <w:color w:val="auto"/>
          <w:sz w:val="22"/>
          <w:szCs w:val="20"/>
        </w:rPr>
        <w:t xml:space="preserve">different clinical and </w:t>
      </w:r>
      <w:r w:rsidR="009F0102">
        <w:rPr>
          <w:rFonts w:eastAsiaTheme="minorHAnsi"/>
          <w:b w:val="0"/>
          <w:noProof w:val="0"/>
          <w:color w:val="auto"/>
          <w:sz w:val="22"/>
          <w:szCs w:val="20"/>
        </w:rPr>
        <w:t>x-ray</w:t>
      </w:r>
      <w:r w:rsidR="00546FD2">
        <w:rPr>
          <w:rFonts w:eastAsiaTheme="minorHAnsi"/>
          <w:b w:val="0"/>
          <w:noProof w:val="0"/>
          <w:color w:val="auto"/>
          <w:sz w:val="22"/>
          <w:szCs w:val="20"/>
        </w:rPr>
        <w:t xml:space="preserve"> findings</w:t>
      </w:r>
      <w:r w:rsidRPr="00062EEB">
        <w:rPr>
          <w:rFonts w:eastAsiaTheme="minorHAnsi"/>
          <w:b w:val="0"/>
          <w:noProof w:val="0"/>
          <w:color w:val="auto"/>
          <w:sz w:val="22"/>
          <w:szCs w:val="20"/>
        </w:rPr>
        <w:t xml:space="preserve"> predict recovery time one year after injury. The factors assessed included: maximum </w:t>
      </w:r>
      <w:r w:rsidR="00546FD2">
        <w:rPr>
          <w:rFonts w:eastAsiaTheme="minorHAnsi"/>
          <w:b w:val="0"/>
          <w:noProof w:val="0"/>
          <w:color w:val="auto"/>
          <w:sz w:val="22"/>
          <w:szCs w:val="20"/>
        </w:rPr>
        <w:t xml:space="preserve">spinal </w:t>
      </w:r>
      <w:r w:rsidRPr="00062EEB">
        <w:rPr>
          <w:rFonts w:eastAsiaTheme="minorHAnsi"/>
          <w:b w:val="0"/>
          <w:noProof w:val="0"/>
          <w:color w:val="auto"/>
          <w:sz w:val="22"/>
          <w:szCs w:val="20"/>
        </w:rPr>
        <w:t xml:space="preserve">canal compromise (MCC), maximum spinal cord compression (MSCC), </w:t>
      </w:r>
      <w:r w:rsidR="007A1D51" w:rsidRPr="009F0102">
        <w:rPr>
          <w:rFonts w:ascii="Arial" w:hAnsi="Arial" w:cs="Arial"/>
          <w:b w:val="0"/>
          <w:color w:val="000000"/>
          <w:sz w:val="20"/>
          <w:szCs w:val="20"/>
          <w:shd w:val="clear" w:color="auto" w:fill="FFFFFF"/>
        </w:rPr>
        <w:t>longitudinal length of intramedullary lesion</w:t>
      </w:r>
      <w:r w:rsidR="007A1D51" w:rsidRPr="00062EEB" w:rsidDel="007A1D51">
        <w:rPr>
          <w:rFonts w:eastAsiaTheme="minorHAnsi"/>
          <w:b w:val="0"/>
          <w:noProof w:val="0"/>
          <w:color w:val="auto"/>
          <w:sz w:val="22"/>
          <w:szCs w:val="20"/>
        </w:rPr>
        <w:t xml:space="preserve"> </w:t>
      </w:r>
      <w:r w:rsidRPr="00062EEB">
        <w:rPr>
          <w:rFonts w:eastAsiaTheme="minorHAnsi"/>
          <w:b w:val="0"/>
          <w:noProof w:val="0"/>
          <w:color w:val="auto"/>
          <w:sz w:val="22"/>
          <w:szCs w:val="20"/>
        </w:rPr>
        <w:t xml:space="preserve">(IML), Brain and Spinal Injury Center score (BASIC), and a Combined Axial and Sagittal Score (CASS). </w:t>
      </w:r>
    </w:p>
    <w:p w14:paraId="4D088AA8" w14:textId="0674E53A" w:rsidR="00615CAD" w:rsidRPr="000B1BE7" w:rsidRDefault="00615CAD" w:rsidP="000B1BE7">
      <w:pPr>
        <w:pStyle w:val="Heading3"/>
      </w:pPr>
      <w:r w:rsidRPr="000B1BE7">
        <w:t>Who participated in the</w:t>
      </w:r>
      <w:r w:rsidR="00B725C0" w:rsidRPr="000B1BE7">
        <w:t xml:space="preserve"> study?</w:t>
      </w:r>
    </w:p>
    <w:p w14:paraId="0C70B401" w14:textId="19FF8A31" w:rsidR="00062EEB" w:rsidRDefault="00062EEB" w:rsidP="00062EEB">
      <w:pPr>
        <w:pStyle w:val="Heading3"/>
        <w:spacing w:before="0"/>
        <w:rPr>
          <w:rFonts w:eastAsiaTheme="minorHAnsi"/>
          <w:b w:val="0"/>
          <w:noProof w:val="0"/>
          <w:color w:val="auto"/>
          <w:sz w:val="22"/>
          <w:szCs w:val="20"/>
        </w:rPr>
      </w:pPr>
      <w:r w:rsidRPr="00062EEB">
        <w:rPr>
          <w:rFonts w:eastAsiaTheme="minorHAnsi"/>
          <w:b w:val="0"/>
          <w:noProof w:val="0"/>
          <w:color w:val="auto"/>
          <w:sz w:val="22"/>
          <w:szCs w:val="20"/>
        </w:rPr>
        <w:t xml:space="preserve">Both the Central Ohio Trauma System Registry and the Information Warehouse database were used to identify patients (n= 99) admitted to the Ohio State University Wexner Medical Center’s (OSUWMC) after acute </w:t>
      </w:r>
      <w:proofErr w:type="spellStart"/>
      <w:r w:rsidRPr="00062EEB">
        <w:rPr>
          <w:rFonts w:eastAsiaTheme="minorHAnsi"/>
          <w:b w:val="0"/>
          <w:noProof w:val="0"/>
          <w:color w:val="auto"/>
          <w:sz w:val="22"/>
          <w:szCs w:val="20"/>
        </w:rPr>
        <w:t>tSCI</w:t>
      </w:r>
      <w:proofErr w:type="spellEnd"/>
      <w:r w:rsidRPr="00062EEB">
        <w:rPr>
          <w:rFonts w:eastAsiaTheme="minorHAnsi"/>
          <w:b w:val="0"/>
          <w:noProof w:val="0"/>
          <w:color w:val="auto"/>
          <w:sz w:val="22"/>
          <w:szCs w:val="20"/>
        </w:rPr>
        <w:t xml:space="preserve"> from 2008 to 2015. To be included in the study, patients had to be 1) over the age of 18; 2) received a complete or incomplete spinal cord injury as measured by the </w:t>
      </w:r>
      <w:r w:rsidR="006A0E35">
        <w:rPr>
          <w:rFonts w:eastAsiaTheme="minorHAnsi"/>
          <w:b w:val="0"/>
          <w:noProof w:val="0"/>
          <w:color w:val="auto"/>
          <w:sz w:val="22"/>
          <w:szCs w:val="20"/>
        </w:rPr>
        <w:t>American Spinal Injury Association</w:t>
      </w:r>
      <w:r w:rsidRPr="00062EEB">
        <w:rPr>
          <w:rFonts w:eastAsiaTheme="minorHAnsi"/>
          <w:b w:val="0"/>
          <w:noProof w:val="0"/>
          <w:color w:val="auto"/>
          <w:sz w:val="22"/>
          <w:szCs w:val="20"/>
        </w:rPr>
        <w:t xml:space="preserve"> </w:t>
      </w:r>
      <w:r w:rsidR="006A0E35">
        <w:rPr>
          <w:rFonts w:eastAsiaTheme="minorHAnsi"/>
          <w:b w:val="0"/>
          <w:noProof w:val="0"/>
          <w:color w:val="auto"/>
          <w:sz w:val="22"/>
          <w:szCs w:val="20"/>
        </w:rPr>
        <w:t>I</w:t>
      </w:r>
      <w:r w:rsidRPr="00062EEB">
        <w:rPr>
          <w:rFonts w:eastAsiaTheme="minorHAnsi"/>
          <w:b w:val="0"/>
          <w:noProof w:val="0"/>
          <w:color w:val="auto"/>
          <w:sz w:val="22"/>
          <w:szCs w:val="20"/>
        </w:rPr>
        <w:t xml:space="preserve">mpairment </w:t>
      </w:r>
      <w:r w:rsidR="006A0E35">
        <w:rPr>
          <w:rFonts w:eastAsiaTheme="minorHAnsi"/>
          <w:b w:val="0"/>
          <w:noProof w:val="0"/>
          <w:color w:val="auto"/>
          <w:sz w:val="22"/>
          <w:szCs w:val="20"/>
        </w:rPr>
        <w:t>S</w:t>
      </w:r>
      <w:r w:rsidRPr="00062EEB">
        <w:rPr>
          <w:rFonts w:eastAsiaTheme="minorHAnsi"/>
          <w:b w:val="0"/>
          <w:noProof w:val="0"/>
          <w:color w:val="auto"/>
          <w:sz w:val="22"/>
          <w:szCs w:val="20"/>
        </w:rPr>
        <w:t>cale</w:t>
      </w:r>
      <w:r w:rsidR="006A0E35">
        <w:rPr>
          <w:rFonts w:eastAsiaTheme="minorHAnsi"/>
          <w:b w:val="0"/>
          <w:noProof w:val="0"/>
          <w:color w:val="auto"/>
          <w:sz w:val="22"/>
          <w:szCs w:val="20"/>
        </w:rPr>
        <w:t xml:space="preserve"> (AIS)</w:t>
      </w:r>
      <w:r w:rsidRPr="00062EEB">
        <w:rPr>
          <w:rFonts w:eastAsiaTheme="minorHAnsi"/>
          <w:b w:val="0"/>
          <w:noProof w:val="0"/>
          <w:color w:val="auto"/>
          <w:sz w:val="22"/>
          <w:szCs w:val="20"/>
        </w:rPr>
        <w:t xml:space="preserve">; 3) showed signs of various clinical patterns of </w:t>
      </w:r>
      <w:proofErr w:type="spellStart"/>
      <w:r w:rsidRPr="00062EEB">
        <w:rPr>
          <w:rFonts w:eastAsiaTheme="minorHAnsi"/>
          <w:b w:val="0"/>
          <w:noProof w:val="0"/>
          <w:color w:val="auto"/>
          <w:sz w:val="22"/>
          <w:szCs w:val="20"/>
        </w:rPr>
        <w:t>tSCI</w:t>
      </w:r>
      <w:proofErr w:type="spellEnd"/>
      <w:r w:rsidRPr="00062EEB">
        <w:rPr>
          <w:rFonts w:eastAsiaTheme="minorHAnsi"/>
          <w:b w:val="0"/>
          <w:noProof w:val="0"/>
          <w:color w:val="auto"/>
          <w:sz w:val="22"/>
          <w:szCs w:val="20"/>
        </w:rPr>
        <w:t xml:space="preserve">; 4) were admitted directly or stabilized at other facilities before being transferred to OSUWMC, and 5) could undergo AIS assessments before operation and within 72 hours after injury. </w:t>
      </w:r>
    </w:p>
    <w:p w14:paraId="5A791BB4" w14:textId="16B72E1C" w:rsidR="00615CAD" w:rsidRPr="00FA28FF" w:rsidRDefault="00615CAD" w:rsidP="00062EEB">
      <w:pPr>
        <w:pStyle w:val="Heading3"/>
        <w:spacing w:before="120"/>
      </w:pPr>
      <w:r w:rsidRPr="00FA28FF">
        <w:t>How was the study conducted?</w:t>
      </w:r>
    </w:p>
    <w:p w14:paraId="19D6C882" w14:textId="39ABC75E" w:rsidR="00F73E4A" w:rsidRDefault="00062EEB" w:rsidP="00F73E4A">
      <w:pPr>
        <w:pStyle w:val="Heading3"/>
        <w:spacing w:before="0"/>
        <w:rPr>
          <w:rFonts w:eastAsiaTheme="minorHAnsi"/>
          <w:b w:val="0"/>
          <w:noProof w:val="0"/>
          <w:color w:val="auto"/>
          <w:sz w:val="22"/>
          <w:szCs w:val="20"/>
        </w:rPr>
      </w:pPr>
      <w:r w:rsidRPr="00062EEB">
        <w:rPr>
          <w:rFonts w:eastAsiaTheme="minorHAnsi"/>
          <w:b w:val="0"/>
          <w:noProof w:val="0"/>
          <w:color w:val="auto"/>
          <w:sz w:val="22"/>
          <w:szCs w:val="20"/>
        </w:rPr>
        <w:t>Cervical magnetic resonance imaging (MRI) w</w:t>
      </w:r>
      <w:r w:rsidR="005C72FA">
        <w:rPr>
          <w:rFonts w:eastAsiaTheme="minorHAnsi"/>
          <w:b w:val="0"/>
          <w:noProof w:val="0"/>
          <w:color w:val="auto"/>
          <w:sz w:val="22"/>
          <w:szCs w:val="20"/>
        </w:rPr>
        <w:t>as</w:t>
      </w:r>
      <w:r w:rsidRPr="00062EEB">
        <w:rPr>
          <w:rFonts w:eastAsiaTheme="minorHAnsi"/>
          <w:b w:val="0"/>
          <w:noProof w:val="0"/>
          <w:color w:val="auto"/>
          <w:sz w:val="22"/>
          <w:szCs w:val="20"/>
        </w:rPr>
        <w:t xml:space="preserve"> completed on 90 of the 99 patients upon admission to assess the different clinical and radiological factors. The remaining patients either underwent computed tomography myelography studies or did not undergo immediate imaging. MRI results were assessed by a trained neurosurgeon and spine surgery fellow. Any disagreement between the two assessors were resolved by a board-certified neuro-radiologist who was blinded to the other assessors’ scores</w:t>
      </w:r>
      <w:r w:rsidR="007A1D51" w:rsidRPr="00062EEB">
        <w:rPr>
          <w:rFonts w:eastAsiaTheme="minorHAnsi"/>
          <w:b w:val="0"/>
          <w:noProof w:val="0"/>
          <w:color w:val="auto"/>
          <w:sz w:val="22"/>
          <w:szCs w:val="20"/>
        </w:rPr>
        <w:t>.</w:t>
      </w:r>
      <w:r w:rsidR="00F73E4A" w:rsidRPr="00F73E4A">
        <w:rPr>
          <w:rFonts w:eastAsiaTheme="minorHAnsi"/>
          <w:b w:val="0"/>
          <w:noProof w:val="0"/>
          <w:color w:val="auto"/>
          <w:sz w:val="22"/>
          <w:szCs w:val="20"/>
        </w:rPr>
        <w:t xml:space="preserve"> </w:t>
      </w:r>
    </w:p>
    <w:p w14:paraId="79857BDC" w14:textId="77A1EB8F" w:rsidR="00615CAD" w:rsidRPr="00FA28FF" w:rsidRDefault="00615CAD" w:rsidP="000B1BE7">
      <w:pPr>
        <w:pStyle w:val="Heading3"/>
      </w:pPr>
      <w:r w:rsidRPr="00FA28FF">
        <w:t>What did the study find?</w:t>
      </w:r>
    </w:p>
    <w:p w14:paraId="3E09998C" w14:textId="35C7EEBA" w:rsidR="00F95035" w:rsidRDefault="005C72FA" w:rsidP="00615CAD">
      <w:pPr>
        <w:pStyle w:val="Body"/>
      </w:pPr>
      <w:r>
        <w:t xml:space="preserve">The </w:t>
      </w:r>
      <w:r w:rsidR="00062EEB" w:rsidRPr="00062EEB">
        <w:t xml:space="preserve">IML and BASIC were found to be significantly stronger predictors of neurological severity at one-year follow-up than the combined </w:t>
      </w:r>
      <w:r>
        <w:t>spinal canal compromise and the spinal cord compression</w:t>
      </w:r>
      <w:r w:rsidR="00062EEB" w:rsidRPr="00062EEB">
        <w:t>. The BASIC score demonstrated the highest overall predictive value</w:t>
      </w:r>
      <w:r w:rsidR="00E45C9C">
        <w:t xml:space="preserve"> of recovery at one year</w:t>
      </w:r>
      <w:r w:rsidR="00062EEB" w:rsidRPr="00062EEB">
        <w:t>.</w:t>
      </w:r>
    </w:p>
    <w:p w14:paraId="543D70EF" w14:textId="54225BB6" w:rsidR="008B474B" w:rsidRPr="008B474B" w:rsidRDefault="008B474B" w:rsidP="008B474B">
      <w:pPr>
        <w:pStyle w:val="Body"/>
        <w:spacing w:after="0" w:line="240" w:lineRule="auto"/>
        <w:ind w:left="86"/>
        <w:rPr>
          <w:vertAlign w:val="superscript"/>
        </w:rPr>
      </w:pPr>
      <w:r w:rsidRPr="008B474B">
        <w:rPr>
          <w:vertAlign w:val="superscript"/>
        </w:rPr>
        <w:t>1</w:t>
      </w:r>
      <w:r w:rsidRPr="008B474B">
        <w:t xml:space="preserve"> </w:t>
      </w:r>
      <w:r w:rsidRPr="008B474B">
        <w:rPr>
          <w:vertAlign w:val="superscript"/>
        </w:rPr>
        <w:t xml:space="preserve">Farhadi, H. F., Kukreja, S., Minnema, A., </w:t>
      </w:r>
      <w:proofErr w:type="spellStart"/>
      <w:r w:rsidRPr="008B474B">
        <w:rPr>
          <w:vertAlign w:val="superscript"/>
        </w:rPr>
        <w:t>Vatti</w:t>
      </w:r>
      <w:proofErr w:type="spellEnd"/>
      <w:r w:rsidRPr="008B474B">
        <w:rPr>
          <w:vertAlign w:val="superscript"/>
        </w:rPr>
        <w:t>, L., Gopinath, M., Prevedello, L., . . . Schwab, J. M. (2018). Impact of Admission Imaging Findings on Neurological Outcomes in Acute Cervical Traumatic Spinal Cord Injury. </w:t>
      </w:r>
      <w:r w:rsidRPr="008B474B">
        <w:rPr>
          <w:i/>
          <w:iCs/>
          <w:vertAlign w:val="superscript"/>
        </w:rPr>
        <w:t>Journal of Neurotrauma</w:t>
      </w:r>
      <w:r w:rsidRPr="008B474B">
        <w:rPr>
          <w:vertAlign w:val="superscript"/>
        </w:rPr>
        <w:t>. doi:10.1089/neu.2017.5510</w:t>
      </w:r>
    </w:p>
    <w:p w14:paraId="080EC9ED" w14:textId="77777777" w:rsidR="00615CAD" w:rsidRPr="00B725C0" w:rsidRDefault="00615CAD" w:rsidP="00387B3F">
      <w:pPr>
        <w:pStyle w:val="Background"/>
      </w:pPr>
      <w:r w:rsidRPr="00B725C0">
        <w:t xml:space="preserve">The contents of this quick review were </w:t>
      </w:r>
      <w:r w:rsidRPr="00387B3F">
        <w:t>developed</w:t>
      </w:r>
      <w:r w:rsidRPr="00B725C0">
        <w:t xml:space="preserve"> under a grant (number H133A110004) from the U.S. Department of Education, National Institute on Disability and Rehabilitation Research. However, these contents do not necessarily represent the policy of the U.S. Department of Education, and you should not assume endorsement by the Federal Government.</w:t>
      </w:r>
    </w:p>
    <w:sectPr w:rsidR="00615CAD" w:rsidRPr="00B725C0"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E4548" w14:textId="77777777" w:rsidR="00EC5715" w:rsidRDefault="00EC5715">
      <w:pPr>
        <w:spacing w:before="0" w:after="0" w:line="240" w:lineRule="auto"/>
      </w:pPr>
      <w:r>
        <w:separator/>
      </w:r>
    </w:p>
  </w:endnote>
  <w:endnote w:type="continuationSeparator" w:id="0">
    <w:p w14:paraId="0E4FFC3C" w14:textId="77777777" w:rsidR="00EC5715" w:rsidRDefault="00EC5715">
      <w:pPr>
        <w:spacing w:before="0" w:after="0" w:line="240" w:lineRule="auto"/>
      </w:pPr>
      <w:r>
        <w:continuationSeparator/>
      </w:r>
    </w:p>
  </w:endnote>
  <w:endnote w:type="continuationNotice" w:id="1">
    <w:p w14:paraId="7A3F5F45" w14:textId="77777777" w:rsidR="00EC5715" w:rsidRDefault="00EC57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77777777" w:rsidR="00615CAD" w:rsidRPr="00615CAD" w:rsidRDefault="00615CAD" w:rsidP="00615CAD">
    <w:pPr>
      <w:pStyle w:val="Header"/>
      <w:shd w:val="clear" w:color="auto" w:fill="CA602C"/>
      <w:tabs>
        <w:tab w:val="left" w:pos="1710"/>
      </w:tabs>
      <w:spacing w:line="280" w:lineRule="exact"/>
      <w:ind w:left="-72" w:right="-72"/>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7C6B4" w14:textId="77777777" w:rsidR="00EC5715" w:rsidRPr="006C7FDE" w:rsidRDefault="00EC5715" w:rsidP="006C7FDE">
      <w:pPr>
        <w:pStyle w:val="Footer"/>
      </w:pPr>
    </w:p>
  </w:footnote>
  <w:footnote w:type="continuationSeparator" w:id="0">
    <w:p w14:paraId="5B21095B" w14:textId="77777777" w:rsidR="00EC5715" w:rsidRPr="006C7FDE" w:rsidRDefault="00EC5715" w:rsidP="006C7FDE">
      <w:pPr>
        <w:pStyle w:val="Footer"/>
      </w:pPr>
    </w:p>
  </w:footnote>
  <w:footnote w:type="continuationNotice" w:id="1">
    <w:p w14:paraId="08EB3051" w14:textId="77777777" w:rsidR="00EC5715" w:rsidRDefault="00EC571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663F7" w:rsidRPr="00282533" w:rsidRDefault="004663F7"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DB"/>
    <w:rsid w:val="00012BD6"/>
    <w:rsid w:val="000363B4"/>
    <w:rsid w:val="00040F2A"/>
    <w:rsid w:val="0004123D"/>
    <w:rsid w:val="00045ECA"/>
    <w:rsid w:val="00057592"/>
    <w:rsid w:val="00062EEB"/>
    <w:rsid w:val="0007334C"/>
    <w:rsid w:val="00080047"/>
    <w:rsid w:val="000B1BE7"/>
    <w:rsid w:val="000C63F6"/>
    <w:rsid w:val="00101253"/>
    <w:rsid w:val="00105E82"/>
    <w:rsid w:val="00113EDB"/>
    <w:rsid w:val="00117A90"/>
    <w:rsid w:val="00127E75"/>
    <w:rsid w:val="001337EF"/>
    <w:rsid w:val="00147988"/>
    <w:rsid w:val="00157858"/>
    <w:rsid w:val="001725AA"/>
    <w:rsid w:val="001814B2"/>
    <w:rsid w:val="00183D6A"/>
    <w:rsid w:val="001B4D9E"/>
    <w:rsid w:val="001D668D"/>
    <w:rsid w:val="001E236C"/>
    <w:rsid w:val="001F5587"/>
    <w:rsid w:val="00240DDC"/>
    <w:rsid w:val="00264ECC"/>
    <w:rsid w:val="00270784"/>
    <w:rsid w:val="002730BC"/>
    <w:rsid w:val="002A7453"/>
    <w:rsid w:val="002B097A"/>
    <w:rsid w:val="002D37A6"/>
    <w:rsid w:val="002E3CBE"/>
    <w:rsid w:val="002E5577"/>
    <w:rsid w:val="00321A6B"/>
    <w:rsid w:val="00322FCA"/>
    <w:rsid w:val="00346CD8"/>
    <w:rsid w:val="00380DCF"/>
    <w:rsid w:val="003812EA"/>
    <w:rsid w:val="00387B3F"/>
    <w:rsid w:val="003D451D"/>
    <w:rsid w:val="00423930"/>
    <w:rsid w:val="0043355B"/>
    <w:rsid w:val="00445D1A"/>
    <w:rsid w:val="004663F7"/>
    <w:rsid w:val="004709C0"/>
    <w:rsid w:val="00486AB2"/>
    <w:rsid w:val="00486F57"/>
    <w:rsid w:val="004A7252"/>
    <w:rsid w:val="004B3B8B"/>
    <w:rsid w:val="004B71D3"/>
    <w:rsid w:val="004C6036"/>
    <w:rsid w:val="004F7772"/>
    <w:rsid w:val="00522108"/>
    <w:rsid w:val="00525A6A"/>
    <w:rsid w:val="005439A8"/>
    <w:rsid w:val="00546FD2"/>
    <w:rsid w:val="00557B58"/>
    <w:rsid w:val="005A4E3A"/>
    <w:rsid w:val="005C2AEE"/>
    <w:rsid w:val="005C72FA"/>
    <w:rsid w:val="005D2332"/>
    <w:rsid w:val="00615CAD"/>
    <w:rsid w:val="0064519B"/>
    <w:rsid w:val="0066558D"/>
    <w:rsid w:val="00673FEA"/>
    <w:rsid w:val="00675B32"/>
    <w:rsid w:val="006A0E35"/>
    <w:rsid w:val="006C7FDE"/>
    <w:rsid w:val="006D7EBB"/>
    <w:rsid w:val="006E1CAF"/>
    <w:rsid w:val="006E6158"/>
    <w:rsid w:val="007034C5"/>
    <w:rsid w:val="007126B2"/>
    <w:rsid w:val="00736FCA"/>
    <w:rsid w:val="00793240"/>
    <w:rsid w:val="007A1D51"/>
    <w:rsid w:val="007B17CB"/>
    <w:rsid w:val="007B64E2"/>
    <w:rsid w:val="007C71D6"/>
    <w:rsid w:val="007E1081"/>
    <w:rsid w:val="007E6A41"/>
    <w:rsid w:val="008034F6"/>
    <w:rsid w:val="00835888"/>
    <w:rsid w:val="0084779C"/>
    <w:rsid w:val="008567C5"/>
    <w:rsid w:val="00861210"/>
    <w:rsid w:val="00864AFC"/>
    <w:rsid w:val="008769D3"/>
    <w:rsid w:val="008B474B"/>
    <w:rsid w:val="008D6A74"/>
    <w:rsid w:val="008F1C67"/>
    <w:rsid w:val="008F230B"/>
    <w:rsid w:val="00914608"/>
    <w:rsid w:val="0093353B"/>
    <w:rsid w:val="0097551C"/>
    <w:rsid w:val="00994AFD"/>
    <w:rsid w:val="009D05E2"/>
    <w:rsid w:val="009F0102"/>
    <w:rsid w:val="009F7207"/>
    <w:rsid w:val="00A228A0"/>
    <w:rsid w:val="00A34025"/>
    <w:rsid w:val="00A3453C"/>
    <w:rsid w:val="00A570FB"/>
    <w:rsid w:val="00A76007"/>
    <w:rsid w:val="00A83B89"/>
    <w:rsid w:val="00AD689F"/>
    <w:rsid w:val="00AE5027"/>
    <w:rsid w:val="00B329BC"/>
    <w:rsid w:val="00B5367C"/>
    <w:rsid w:val="00B5526D"/>
    <w:rsid w:val="00B711C2"/>
    <w:rsid w:val="00B725C0"/>
    <w:rsid w:val="00B7633C"/>
    <w:rsid w:val="00B803C6"/>
    <w:rsid w:val="00B90539"/>
    <w:rsid w:val="00B9788A"/>
    <w:rsid w:val="00BA191F"/>
    <w:rsid w:val="00BD51FF"/>
    <w:rsid w:val="00BF4C63"/>
    <w:rsid w:val="00C235C4"/>
    <w:rsid w:val="00C30ED8"/>
    <w:rsid w:val="00C467E9"/>
    <w:rsid w:val="00C52204"/>
    <w:rsid w:val="00C60D9C"/>
    <w:rsid w:val="00C64EAE"/>
    <w:rsid w:val="00C66F42"/>
    <w:rsid w:val="00C81849"/>
    <w:rsid w:val="00C84DC0"/>
    <w:rsid w:val="00C8695F"/>
    <w:rsid w:val="00CD2712"/>
    <w:rsid w:val="00D116A5"/>
    <w:rsid w:val="00D202B9"/>
    <w:rsid w:val="00D216F1"/>
    <w:rsid w:val="00D22F4B"/>
    <w:rsid w:val="00D41DF4"/>
    <w:rsid w:val="00D559E9"/>
    <w:rsid w:val="00D61860"/>
    <w:rsid w:val="00D720B3"/>
    <w:rsid w:val="00D84037"/>
    <w:rsid w:val="00DC14D1"/>
    <w:rsid w:val="00DC58B2"/>
    <w:rsid w:val="00DD5060"/>
    <w:rsid w:val="00DD72EC"/>
    <w:rsid w:val="00DD731C"/>
    <w:rsid w:val="00DE424D"/>
    <w:rsid w:val="00DF28A0"/>
    <w:rsid w:val="00E25C7C"/>
    <w:rsid w:val="00E31C28"/>
    <w:rsid w:val="00E45C9C"/>
    <w:rsid w:val="00E45CFB"/>
    <w:rsid w:val="00E4784E"/>
    <w:rsid w:val="00E66DF9"/>
    <w:rsid w:val="00E83AA6"/>
    <w:rsid w:val="00E842EC"/>
    <w:rsid w:val="00E95262"/>
    <w:rsid w:val="00EA2AAD"/>
    <w:rsid w:val="00EC5715"/>
    <w:rsid w:val="00EF53AC"/>
    <w:rsid w:val="00F04BE5"/>
    <w:rsid w:val="00F103AB"/>
    <w:rsid w:val="00F15167"/>
    <w:rsid w:val="00F17CEE"/>
    <w:rsid w:val="00F23D48"/>
    <w:rsid w:val="00F57594"/>
    <w:rsid w:val="00F73E4A"/>
    <w:rsid w:val="00F831BD"/>
    <w:rsid w:val="00F95035"/>
    <w:rsid w:val="00FA28FF"/>
    <w:rsid w:val="00FD742F"/>
    <w:rsid w:val="00FE1A11"/>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96032897-6047-4892-8C0F-A9006CE2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C85A72E-652C-442B-A08E-2EB9F073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Berdyyeva, Aynura</cp:lastModifiedBy>
  <cp:revision>2</cp:revision>
  <cp:lastPrinted>2014-09-23T15:34:00Z</cp:lastPrinted>
  <dcterms:created xsi:type="dcterms:W3CDTF">2018-05-29T14:54:00Z</dcterms:created>
  <dcterms:modified xsi:type="dcterms:W3CDTF">2018-05-29T14:54:00Z</dcterms:modified>
</cp:coreProperties>
</file>