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47727CC0" w:rsidR="00615CAD" w:rsidRPr="00A3453C" w:rsidRDefault="0059016F" w:rsidP="00A871C6">
      <w:pPr>
        <w:pStyle w:val="Heading2"/>
      </w:pPr>
      <w:bookmarkStart w:id="0" w:name="_Hlk10532317"/>
      <w:r>
        <w:t>Predictors of 1-Year Global Outcomes After Traumatic Brain Injury Among Older Adults: A NIDILRR Traumatic Brain Injury Model Systems Study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3F591B73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59016F">
        <w:rPr>
          <w:rFonts w:ascii="Calibri" w:hAnsi="Calibri"/>
          <w:b w:val="0"/>
          <w:color w:val="auto"/>
          <w:sz w:val="22"/>
        </w:rPr>
        <w:t>assess predictors of global function</w:t>
      </w:r>
      <w:r w:rsidR="00DD48D4">
        <w:rPr>
          <w:rFonts w:ascii="Calibri" w:hAnsi="Calibri"/>
          <w:b w:val="0"/>
          <w:color w:val="auto"/>
          <w:sz w:val="22"/>
        </w:rPr>
        <w:t xml:space="preserve"> (i.e., how well an individual can perform ever</w:t>
      </w:r>
      <w:r w:rsidR="008E5643">
        <w:rPr>
          <w:rFonts w:ascii="Calibri" w:hAnsi="Calibri"/>
          <w:b w:val="0"/>
          <w:color w:val="auto"/>
          <w:sz w:val="22"/>
        </w:rPr>
        <w:t>y</w:t>
      </w:r>
      <w:r w:rsidR="00DD48D4">
        <w:rPr>
          <w:rFonts w:ascii="Calibri" w:hAnsi="Calibri"/>
          <w:b w:val="0"/>
          <w:color w:val="auto"/>
          <w:sz w:val="22"/>
        </w:rPr>
        <w:t>day activities)</w:t>
      </w:r>
      <w:r w:rsidR="0059016F">
        <w:rPr>
          <w:rFonts w:ascii="Calibri" w:hAnsi="Calibri"/>
          <w:b w:val="0"/>
          <w:color w:val="auto"/>
          <w:sz w:val="22"/>
        </w:rPr>
        <w:t xml:space="preserve"> and driving status among older adults (50 years and older) who survived 1 year following inpatient rehabilitation for moderate-to-severe traumatic brain injury (TBI).</w:t>
      </w:r>
      <w:r>
        <w:rPr>
          <w:rFonts w:ascii="Calibri" w:hAnsi="Calibri"/>
          <w:b w:val="0"/>
          <w:color w:val="auto"/>
          <w:sz w:val="22"/>
        </w:rPr>
        <w:t xml:space="preserve"> </w:t>
      </w:r>
      <w:r w:rsidR="00FA2B91">
        <w:rPr>
          <w:rFonts w:ascii="Calibri" w:hAnsi="Calibri"/>
          <w:b w:val="0"/>
          <w:color w:val="auto"/>
          <w:sz w:val="22"/>
        </w:rPr>
        <w:t>Global functioning was assessed through the Glasgow Outcome Scale-Extended (GOS-E),</w:t>
      </w:r>
      <w:r>
        <w:rPr>
          <w:rFonts w:ascii="Calibri" w:hAnsi="Calibri"/>
          <w:b w:val="0"/>
          <w:color w:val="auto"/>
          <w:sz w:val="22"/>
        </w:rPr>
        <w:t xml:space="preserve"> </w:t>
      </w:r>
      <w:r w:rsidR="00FA2B91" w:rsidRPr="00FA2B91">
        <w:rPr>
          <w:rFonts w:ascii="Calibri" w:hAnsi="Calibri"/>
          <w:b w:val="0"/>
          <w:color w:val="auto"/>
          <w:sz w:val="22"/>
        </w:rPr>
        <w:t>which measures the ability to live, work, travel, and socialize independently after TBI.</w:t>
      </w:r>
      <w:r w:rsidR="00FA2B91">
        <w:rPr>
          <w:rFonts w:ascii="Calibri" w:hAnsi="Calibri"/>
          <w:b w:val="0"/>
          <w:color w:val="auto"/>
          <w:sz w:val="22"/>
        </w:rPr>
        <w:t xml:space="preserve">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180FCB6E" w:rsidR="00A1328A" w:rsidRPr="00A1328A" w:rsidRDefault="00A1328A" w:rsidP="00196C46">
      <w:pPr>
        <w:ind w:left="90"/>
      </w:pPr>
      <w:r>
        <w:t>This study found</w:t>
      </w:r>
      <w:r w:rsidR="00FA2B91">
        <w:t xml:space="preserve"> </w:t>
      </w:r>
      <w:r w:rsidR="009418BB">
        <w:t>that functional outcome at discharge had the greatest contribution in explaining variation in global functioning at 1 year postinjury across all older ager groups. This suggests that, especially for older patients with TBI (aged 60- to 79-years-old), maximizing (i.e., make the most of) functional improvement during inpatient rehabilitation may be critical to maximizing the potential for long-term recovery.</w:t>
      </w:r>
      <w:r w:rsidR="00196C46">
        <w:t xml:space="preserve"> 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7642BB8A" w:rsidR="00196C46" w:rsidRPr="00196C46" w:rsidRDefault="00FA2B91" w:rsidP="00196C46">
      <w:pPr>
        <w:ind w:left="90"/>
      </w:pPr>
      <w:r>
        <w:t xml:space="preserve">Individuals with moderate to severe TBI (N=1,845) aged 50 years old or older, who participated </w:t>
      </w:r>
      <w:r w:rsidR="00196C46">
        <w:t>in the Traumatic Brain Injury Model Systems National Database (TBIMS-NDB).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4671A77A" w:rsidR="00196C46" w:rsidRPr="00196C46" w:rsidRDefault="00196C46" w:rsidP="00196C46">
      <w:pPr>
        <w:ind w:left="90"/>
      </w:pPr>
      <w:r>
        <w:t xml:space="preserve">This study </w:t>
      </w:r>
      <w:r w:rsidR="00FA2B91">
        <w:t>used data from the TBIMS-NDB and analyzed outcomes at 1-year postinjury</w:t>
      </w:r>
      <w:r>
        <w:t>.</w:t>
      </w:r>
      <w:r w:rsidR="00FA2B91">
        <w:t xml:space="preserve"> The main outcome measures were </w:t>
      </w:r>
      <w:r w:rsidR="00FA2B91" w:rsidRPr="00FA2B91">
        <w:rPr>
          <w:i/>
          <w:iCs/>
        </w:rPr>
        <w:t>functional outcome</w:t>
      </w:r>
      <w:r w:rsidR="00FA2B91">
        <w:t xml:space="preserve"> using the GOS-E, and </w:t>
      </w:r>
      <w:r w:rsidR="00FA2B91" w:rsidRPr="008E5643">
        <w:rPr>
          <w:i/>
          <w:iCs/>
        </w:rPr>
        <w:t>driving status</w:t>
      </w:r>
      <w:r w:rsidR="00FA2B91">
        <w:t xml:space="preserve"> which was measured at 1-year postinjury as either participants being able to drive independently or </w:t>
      </w:r>
      <w:r w:rsidR="008E5643">
        <w:t>can</w:t>
      </w:r>
      <w:r w:rsidR="00FA2B91">
        <w:t xml:space="preserve">not drive independently. 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4A77BAB4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ED24D3">
        <w:rPr>
          <w:rFonts w:asciiTheme="minorHAnsi" w:hAnsiTheme="minorHAnsi"/>
          <w:b w:val="0"/>
          <w:color w:val="auto"/>
          <w:sz w:val="22"/>
          <w:szCs w:val="22"/>
        </w:rPr>
        <w:t xml:space="preserve"> how older adult TBI survivors may need more individualized</w:t>
      </w:r>
      <w:r w:rsidR="008E5643">
        <w:rPr>
          <w:rFonts w:asciiTheme="minorHAnsi" w:hAnsiTheme="minorHAnsi"/>
          <w:b w:val="0"/>
          <w:color w:val="auto"/>
          <w:sz w:val="22"/>
          <w:szCs w:val="22"/>
        </w:rPr>
        <w:t xml:space="preserve"> (i.e., personalized)</w:t>
      </w:r>
      <w:r w:rsidR="00ED24D3">
        <w:rPr>
          <w:rFonts w:asciiTheme="minorHAnsi" w:hAnsiTheme="minorHAnsi"/>
          <w:b w:val="0"/>
          <w:color w:val="auto"/>
          <w:sz w:val="22"/>
          <w:szCs w:val="22"/>
        </w:rPr>
        <w:t xml:space="preserve"> rehabilitation care during rehabilitation to increase their ability to live independently</w:t>
      </w:r>
      <w:r w:rsidR="009418BB">
        <w:rPr>
          <w:rFonts w:asciiTheme="minorHAnsi" w:hAnsiTheme="minorHAnsi"/>
          <w:b w:val="0"/>
          <w:color w:val="auto"/>
          <w:sz w:val="22"/>
          <w:szCs w:val="22"/>
        </w:rPr>
        <w:t xml:space="preserve"> and to achieve the greatest potential during long-term recovery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. Practitioners can use the</w:t>
      </w:r>
      <w:r w:rsidR="00ED24D3">
        <w:rPr>
          <w:rFonts w:asciiTheme="minorHAnsi" w:hAnsiTheme="minorHAnsi"/>
          <w:b w:val="0"/>
          <w:color w:val="auto"/>
          <w:sz w:val="22"/>
          <w:szCs w:val="22"/>
        </w:rPr>
        <w:t xml:space="preserve">se results to explore </w:t>
      </w:r>
      <w:r w:rsidR="009418BB">
        <w:rPr>
          <w:rFonts w:asciiTheme="minorHAnsi" w:hAnsiTheme="minorHAnsi"/>
          <w:b w:val="0"/>
          <w:color w:val="auto"/>
          <w:sz w:val="22"/>
          <w:szCs w:val="22"/>
        </w:rPr>
        <w:t xml:space="preserve">treatment </w:t>
      </w:r>
      <w:r w:rsidR="00ED24D3">
        <w:rPr>
          <w:rFonts w:asciiTheme="minorHAnsi" w:hAnsiTheme="minorHAnsi"/>
          <w:b w:val="0"/>
          <w:color w:val="auto"/>
          <w:sz w:val="22"/>
          <w:szCs w:val="22"/>
        </w:rPr>
        <w:t>approaches</w:t>
      </w:r>
      <w:r w:rsidR="009418BB">
        <w:rPr>
          <w:rFonts w:asciiTheme="minorHAnsi" w:hAnsiTheme="minorHAnsi"/>
          <w:b w:val="0"/>
          <w:color w:val="auto"/>
          <w:sz w:val="22"/>
          <w:szCs w:val="22"/>
        </w:rPr>
        <w:t xml:space="preserve"> during inpatient rehabilitation,</w:t>
      </w:r>
      <w:r w:rsidR="00ED24D3">
        <w:rPr>
          <w:rFonts w:asciiTheme="minorHAnsi" w:hAnsiTheme="minorHAnsi"/>
          <w:b w:val="0"/>
          <w:color w:val="auto"/>
          <w:sz w:val="22"/>
          <w:szCs w:val="22"/>
        </w:rPr>
        <w:t xml:space="preserve"> specifically for older adults with TBI</w:t>
      </w:r>
      <w:r w:rsidR="009418BB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ED24D3">
        <w:rPr>
          <w:rFonts w:asciiTheme="minorHAnsi" w:hAnsiTheme="minorHAnsi"/>
          <w:b w:val="0"/>
          <w:color w:val="auto"/>
          <w:sz w:val="22"/>
          <w:szCs w:val="22"/>
        </w:rPr>
        <w:t xml:space="preserve"> to help maximize their ability to function and to improve later outcomes and decrease rehospitalizations.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374E518B" w:rsidR="0075592A" w:rsidRPr="0059016F" w:rsidRDefault="0059016F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>Hammond, F. M., Baker-</w:t>
      </w:r>
      <w:proofErr w:type="spellStart"/>
      <w:r>
        <w:rPr>
          <w:rFonts w:ascii="Calibri" w:eastAsia="Calibri" w:hAnsi="Calibri" w:cs="Calibri"/>
        </w:rPr>
        <w:t>Sparr</w:t>
      </w:r>
      <w:proofErr w:type="spellEnd"/>
      <w:r>
        <w:rPr>
          <w:rFonts w:ascii="Calibri" w:eastAsia="Calibri" w:hAnsi="Calibri" w:cs="Calibri"/>
        </w:rPr>
        <w:t xml:space="preserve">, C. A., </w:t>
      </w:r>
      <w:proofErr w:type="spellStart"/>
      <w:r>
        <w:rPr>
          <w:rFonts w:ascii="Calibri" w:eastAsia="Calibri" w:hAnsi="Calibri" w:cs="Calibri"/>
        </w:rPr>
        <w:t>Dahdah</w:t>
      </w:r>
      <w:proofErr w:type="spellEnd"/>
      <w:r>
        <w:rPr>
          <w:rFonts w:ascii="Calibri" w:eastAsia="Calibri" w:hAnsi="Calibri" w:cs="Calibri"/>
        </w:rPr>
        <w:t xml:space="preserve">, M. N., Dams-O’Connor, K., </w:t>
      </w:r>
      <w:proofErr w:type="spellStart"/>
      <w:r>
        <w:rPr>
          <w:rFonts w:ascii="Calibri" w:eastAsia="Calibri" w:hAnsi="Calibri" w:cs="Calibri"/>
        </w:rPr>
        <w:t>Dreer</w:t>
      </w:r>
      <w:proofErr w:type="spellEnd"/>
      <w:r>
        <w:rPr>
          <w:rFonts w:ascii="Calibri" w:eastAsia="Calibri" w:hAnsi="Calibri" w:cs="Calibri"/>
        </w:rPr>
        <w:t>, L. E., O’Neil-</w:t>
      </w:r>
      <w:proofErr w:type="spellStart"/>
      <w:r>
        <w:rPr>
          <w:rFonts w:ascii="Calibri" w:eastAsia="Calibri" w:hAnsi="Calibri" w:cs="Calibri"/>
        </w:rPr>
        <w:t>Pirozzi</w:t>
      </w:r>
      <w:proofErr w:type="spellEnd"/>
      <w:r>
        <w:rPr>
          <w:rFonts w:ascii="Calibri" w:eastAsia="Calibri" w:hAnsi="Calibri" w:cs="Calibri"/>
        </w:rPr>
        <w:t xml:space="preserve"> T. M., &amp; Novack, T. A.</w:t>
      </w:r>
      <w:r w:rsidR="001C0D0C" w:rsidRPr="001C0D0C">
        <w:rPr>
          <w:rFonts w:ascii="Calibri" w:eastAsia="Calibri" w:hAnsi="Calibri" w:cs="Calibri"/>
        </w:rPr>
        <w:t xml:space="preserve"> (2019). </w:t>
      </w:r>
      <w:r>
        <w:rPr>
          <w:rFonts w:ascii="Calibri" w:eastAsia="Calibri" w:hAnsi="Calibri" w:cs="Calibri"/>
        </w:rPr>
        <w:t>Predictors of 1-year global outcomes after traumatic brain injury among older adults: A NIDILRR Traumatic Brain Injury Model Systems study</w:t>
      </w:r>
      <w:r w:rsidR="001C0D0C" w:rsidRPr="001C0D0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Journal of Aging and Health, 31</w:t>
      </w:r>
      <w:r w:rsidR="001C0D0C" w:rsidRPr="0059016F">
        <w:rPr>
          <w:rFonts w:ascii="Calibri" w:eastAsia="Calibri" w:hAnsi="Calibri" w:cs="Calibri"/>
          <w:iCs/>
        </w:rPr>
        <w:t>(</w:t>
      </w:r>
      <w:r w:rsidRPr="0059016F">
        <w:rPr>
          <w:rFonts w:ascii="Calibri" w:eastAsia="Calibri" w:hAnsi="Calibri" w:cs="Calibri"/>
          <w:iCs/>
        </w:rPr>
        <w:t>10S</w:t>
      </w:r>
      <w:r w:rsidR="001C0D0C" w:rsidRPr="0059016F">
        <w:rPr>
          <w:rFonts w:ascii="Calibri" w:eastAsia="Calibri" w:hAnsi="Calibri" w:cs="Calibri"/>
          <w:iCs/>
        </w:rPr>
        <w:t xml:space="preserve">), </w:t>
      </w:r>
      <w:r>
        <w:rPr>
          <w:rFonts w:ascii="Calibri" w:eastAsia="Calibri" w:hAnsi="Calibri" w:cs="Calibri"/>
          <w:iCs/>
        </w:rPr>
        <w:t>68S-96S. [</w:t>
      </w:r>
      <w:r w:rsidRPr="0059016F">
        <w:rPr>
          <w:rFonts w:ascii="Calibri" w:eastAsia="Calibri" w:hAnsi="Calibri" w:cs="Calibri"/>
          <w:iCs/>
        </w:rPr>
        <w:t>https://pubmed.ncbi.nlm.nih.gov/31718413/</w:t>
      </w:r>
      <w:r>
        <w:rPr>
          <w:rFonts w:ascii="Calibri" w:eastAsia="Calibri" w:hAnsi="Calibri" w:cs="Calibri"/>
          <w:iCs/>
        </w:rPr>
        <w:t>]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lastRenderedPageBreak/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C733" w14:textId="77777777" w:rsidR="00EB07E4" w:rsidRDefault="00EB07E4">
      <w:pPr>
        <w:spacing w:before="0" w:after="0" w:line="240" w:lineRule="auto"/>
      </w:pPr>
      <w:r>
        <w:separator/>
      </w:r>
    </w:p>
  </w:endnote>
  <w:endnote w:type="continuationSeparator" w:id="0">
    <w:p w14:paraId="42B2AA53" w14:textId="77777777" w:rsidR="00EB07E4" w:rsidRDefault="00EB07E4">
      <w:pPr>
        <w:spacing w:before="0" w:after="0" w:line="240" w:lineRule="auto"/>
      </w:pPr>
      <w:r>
        <w:continuationSeparator/>
      </w:r>
    </w:p>
  </w:endnote>
  <w:endnote w:type="continuationNotice" w:id="1">
    <w:p w14:paraId="51779022" w14:textId="77777777" w:rsidR="00EB07E4" w:rsidRDefault="00EB07E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480D8C2E" w:rsidR="009154AD" w:rsidRPr="006C4AAA" w:rsidRDefault="005A6BF1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59016F" w:rsidRPr="00144E1B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FFA97" w14:textId="77777777" w:rsidR="00EB07E4" w:rsidRPr="006C7FDE" w:rsidRDefault="00EB07E4" w:rsidP="006C7FDE">
      <w:pPr>
        <w:pStyle w:val="Footer"/>
      </w:pPr>
    </w:p>
  </w:footnote>
  <w:footnote w:type="continuationSeparator" w:id="0">
    <w:p w14:paraId="4504142F" w14:textId="77777777" w:rsidR="00EB07E4" w:rsidRPr="006C7FDE" w:rsidRDefault="00EB07E4" w:rsidP="006C7FDE">
      <w:pPr>
        <w:pStyle w:val="Footer"/>
      </w:pPr>
    </w:p>
  </w:footnote>
  <w:footnote w:type="continuationNotice" w:id="1">
    <w:p w14:paraId="05F136E6" w14:textId="77777777" w:rsidR="00EB07E4" w:rsidRDefault="00EB07E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448B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016F"/>
    <w:rsid w:val="005957F2"/>
    <w:rsid w:val="005A6BF1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272C1"/>
    <w:rsid w:val="00835888"/>
    <w:rsid w:val="0084779C"/>
    <w:rsid w:val="008567C5"/>
    <w:rsid w:val="00861210"/>
    <w:rsid w:val="00864AFC"/>
    <w:rsid w:val="0088127D"/>
    <w:rsid w:val="008D6A74"/>
    <w:rsid w:val="008E5643"/>
    <w:rsid w:val="008F1C67"/>
    <w:rsid w:val="008F230B"/>
    <w:rsid w:val="00914608"/>
    <w:rsid w:val="009154AD"/>
    <w:rsid w:val="00924F5E"/>
    <w:rsid w:val="00925EF3"/>
    <w:rsid w:val="0093353B"/>
    <w:rsid w:val="009418B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48D4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B07E4"/>
    <w:rsid w:val="00ED24D3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2B91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A58E5-E200-4E8A-BA08-1C5DE82AC909}">
  <ds:schemaRefs>
    <ds:schemaRef ds:uri="http://purl.org/dc/terms/"/>
    <ds:schemaRef ds:uri="http://schemas.microsoft.com/office/2006/documentManagement/types"/>
    <ds:schemaRef ds:uri="fb34b22c-8f90-4120-b0e9-5414049377bd"/>
    <ds:schemaRef ds:uri="http://schemas.microsoft.com/office/infopath/2007/PartnerControls"/>
    <ds:schemaRef ds:uri="http://purl.org/dc/elements/1.1/"/>
    <ds:schemaRef ds:uri="http://schemas.microsoft.com/office/2006/metadata/properties"/>
    <ds:schemaRef ds:uri="c6e93ede-6b1e-4607-bafd-50b635cba50b"/>
    <ds:schemaRef ds:uri="http://schemas.openxmlformats.org/package/2006/metadata/core-properties"/>
    <ds:schemaRef ds:uri="7f4bb1ce-559c-4528-a6b6-283bbbe015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4B408-7D28-4020-B45F-CB6B0E3A59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05232-B0D8-48CD-BCF4-443D370024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AD42F-FB19-420B-98AA-B809C297E9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A6B7FF-D575-4136-947D-60FB13E4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2</cp:revision>
  <cp:lastPrinted>2019-06-11T14:07:00Z</cp:lastPrinted>
  <dcterms:created xsi:type="dcterms:W3CDTF">2021-12-03T14:57:00Z</dcterms:created>
  <dcterms:modified xsi:type="dcterms:W3CDTF">2021-12-03T14:57:00Z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