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E35DD" w14:textId="77777777" w:rsidR="00AE656A" w:rsidRPr="00615CAD" w:rsidRDefault="00AE656A" w:rsidP="00AE656A">
      <w:pPr>
        <w:pStyle w:val="Logo"/>
      </w:pPr>
      <w:r>
        <w:rPr>
          <w:noProof/>
        </w:rPr>
        <w:drawing>
          <wp:anchor distT="0" distB="0" distL="114300" distR="114300" simplePos="0" relativeHeight="251659264" behindDoc="0" locked="0" layoutInCell="1" allowOverlap="1" wp14:anchorId="275D00AE" wp14:editId="35EFD6F2">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1D753A7A" w14:textId="77777777" w:rsidR="00AE656A" w:rsidRPr="00B725C0" w:rsidRDefault="00AE656A" w:rsidP="00AE656A">
      <w:pPr>
        <w:pStyle w:val="Heading1"/>
        <w:ind w:left="720"/>
      </w:pPr>
      <w:r w:rsidRPr="00B725C0">
        <w:rPr>
          <w:sz w:val="16"/>
          <w:szCs w:val="16"/>
        </w:rPr>
        <w:br/>
      </w:r>
      <w:r>
        <w:t>`</w:t>
      </w:r>
      <w:r>
        <w:tab/>
      </w:r>
      <w:r>
        <w:tab/>
      </w:r>
      <w:r>
        <w:tab/>
      </w:r>
      <w:r>
        <w:tab/>
      </w:r>
      <w:r w:rsidRPr="00B725C0">
        <w:t xml:space="preserve">Quick Review of </w:t>
      </w:r>
      <w:r>
        <w:br/>
      </w:r>
      <w:r w:rsidRPr="00B725C0">
        <w:t>Model System Research</w:t>
      </w:r>
    </w:p>
    <w:p w14:paraId="35510FF8" w14:textId="77777777" w:rsidR="00AE656A" w:rsidRDefault="00AE656A" w:rsidP="00AE656A">
      <w:pPr>
        <w:pStyle w:val="Heading2"/>
        <w:rPr>
          <w:rStyle w:val="FootnoteReference"/>
          <w:vertAlign w:val="baseline"/>
        </w:rPr>
        <w:sectPr w:rsidR="00AE656A" w:rsidSect="00B725C0">
          <w:headerReference w:type="default" r:id="rId7"/>
          <w:footerReference w:type="default" r:id="rId8"/>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1DE7909" w14:textId="51E85FAB" w:rsidR="00AE656A" w:rsidRPr="00A3453C" w:rsidRDefault="00AE656A" w:rsidP="00AE656A">
      <w:pPr>
        <w:pStyle w:val="Heading2"/>
      </w:pPr>
      <w:r w:rsidRPr="00AC0835">
        <w:t>Long-Term Outcomes in Patients Surviving Large Burns: The Musculoskeletal System</w:t>
      </w:r>
    </w:p>
    <w:p w14:paraId="4ED5FCE0" w14:textId="77777777" w:rsidR="00AE656A" w:rsidRDefault="00AE656A" w:rsidP="00AE656A">
      <w:pPr>
        <w:pStyle w:val="Heading3"/>
        <w:spacing w:before="360"/>
      </w:pPr>
      <w:r w:rsidRPr="00FA28FF">
        <w:t>What is</w:t>
      </w:r>
      <w:r w:rsidRPr="00615CAD">
        <w:t xml:space="preserve"> th</w:t>
      </w:r>
      <w:r>
        <w:t>e study about?</w:t>
      </w:r>
    </w:p>
    <w:p w14:paraId="0252F679" w14:textId="292ED927" w:rsidR="00AE656A" w:rsidRPr="008C1906" w:rsidRDefault="00015310" w:rsidP="00AE656A">
      <w:pPr>
        <w:ind w:left="90"/>
        <w:rPr>
          <w:color w:val="FF0000"/>
        </w:rPr>
      </w:pPr>
      <w:hyperlink r:id="rId9" w:history="1">
        <w:r w:rsidR="00AE656A" w:rsidRPr="00FA0B89">
          <w:rPr>
            <w:rStyle w:val="Hyperlink"/>
          </w:rPr>
          <w:t>Musculoskeletal</w:t>
        </w:r>
      </w:hyperlink>
      <w:r w:rsidR="00AE656A">
        <w:t xml:space="preserve"> complications (i.e., </w:t>
      </w:r>
      <w:hyperlink r:id="rId10" w:history="1">
        <w:r w:rsidR="00AE656A" w:rsidRPr="00FA0B89">
          <w:rPr>
            <w:rStyle w:val="Hyperlink"/>
          </w:rPr>
          <w:t>contractures</w:t>
        </w:r>
      </w:hyperlink>
      <w:r w:rsidR="00AE656A">
        <w:t xml:space="preserve">, bone loss, </w:t>
      </w:r>
      <w:hyperlink r:id="rId11" w:history="1">
        <w:r w:rsidR="00AE656A" w:rsidRPr="00FA0B89">
          <w:rPr>
            <w:rStyle w:val="Hyperlink"/>
          </w:rPr>
          <w:t>septic arthritis</w:t>
        </w:r>
      </w:hyperlink>
      <w:r w:rsidR="00AE656A">
        <w:t xml:space="preserve">) are common following </w:t>
      </w:r>
      <w:r w:rsidR="00085FB5">
        <w:t xml:space="preserve">a </w:t>
      </w:r>
      <w:r w:rsidR="00AE656A">
        <w:t>burn injur</w:t>
      </w:r>
      <w:r w:rsidR="00085FB5">
        <w:t>y</w:t>
      </w:r>
      <w:r w:rsidR="00AE656A">
        <w:t>. These complications can occur either as a direct or indirect effect from the burn injury itself or its effect on the bones, joints</w:t>
      </w:r>
      <w:r w:rsidR="00085FB5">
        <w:t>,</w:t>
      </w:r>
      <w:r w:rsidR="00AE656A">
        <w:t xml:space="preserve"> and tendons. This study looked at the long-term musculoskeletal complications following </w:t>
      </w:r>
      <w:r w:rsidR="000C0DC4">
        <w:t xml:space="preserve">a </w:t>
      </w:r>
      <w:r w:rsidR="00AE656A">
        <w:t xml:space="preserve">major burn injury. </w:t>
      </w:r>
    </w:p>
    <w:p w14:paraId="22B9EB4F" w14:textId="77777777" w:rsidR="00EB27C5" w:rsidRDefault="00EB27C5" w:rsidP="00EB27C5">
      <w:pPr>
        <w:pStyle w:val="Heading3"/>
      </w:pPr>
      <w:r w:rsidRPr="00FA28FF">
        <w:t>What did the study find?</w:t>
      </w:r>
    </w:p>
    <w:p w14:paraId="7C8F1C4F" w14:textId="5C6BABB4" w:rsidR="00EB27C5" w:rsidRPr="00EB27C5" w:rsidRDefault="00EB27C5" w:rsidP="00EB27C5">
      <w:pPr>
        <w:pStyle w:val="Body"/>
        <w:rPr>
          <w:rFonts w:asciiTheme="minorHAnsi" w:hAnsiTheme="minorHAnsi"/>
        </w:rPr>
      </w:pPr>
      <w:r>
        <w:rPr>
          <w:rFonts w:asciiTheme="minorHAnsi" w:hAnsiTheme="minorHAnsi"/>
        </w:rPr>
        <w:t>Researchers found that 73% (68 of 93) of the participants had a limitation of motion</w:t>
      </w:r>
      <w:r w:rsidR="009278BA">
        <w:rPr>
          <w:rFonts w:asciiTheme="minorHAnsi" w:hAnsiTheme="minorHAnsi"/>
        </w:rPr>
        <w:t>,</w:t>
      </w:r>
      <w:r>
        <w:rPr>
          <w:rFonts w:asciiTheme="minorHAnsi" w:hAnsiTheme="minorHAnsi"/>
        </w:rPr>
        <w:t xml:space="preserve"> with the neck (47%), hands (45%), and </w:t>
      </w:r>
      <w:hyperlink r:id="rId12" w:history="1">
        <w:r w:rsidRPr="00506BDB">
          <w:rPr>
            <w:rStyle w:val="Hyperlink"/>
            <w:rFonts w:asciiTheme="minorHAnsi" w:hAnsiTheme="minorHAnsi"/>
          </w:rPr>
          <w:t>axilla</w:t>
        </w:r>
      </w:hyperlink>
      <w:r>
        <w:rPr>
          <w:rFonts w:asciiTheme="minorHAnsi" w:hAnsiTheme="minorHAnsi"/>
        </w:rPr>
        <w:t xml:space="preserve"> (38%) being the most affected areas. Participants with limitation of motion had significant difficulty in areas of mobility, self-care, hand function</w:t>
      </w:r>
      <w:r w:rsidR="00506BDB">
        <w:rPr>
          <w:rFonts w:asciiTheme="minorHAnsi" w:hAnsiTheme="minorHAnsi"/>
        </w:rPr>
        <w:t>,</w:t>
      </w:r>
      <w:r>
        <w:rPr>
          <w:rFonts w:asciiTheme="minorHAnsi" w:hAnsiTheme="minorHAnsi"/>
        </w:rPr>
        <w:t xml:space="preserve"> and role activities. </w:t>
      </w:r>
      <w:r w:rsidRPr="00085FB5">
        <w:rPr>
          <w:rFonts w:asciiTheme="minorHAnsi" w:hAnsiTheme="minorHAnsi"/>
        </w:rPr>
        <w:t xml:space="preserve">This study </w:t>
      </w:r>
      <w:r>
        <w:rPr>
          <w:rFonts w:asciiTheme="minorHAnsi" w:hAnsiTheme="minorHAnsi"/>
        </w:rPr>
        <w:t xml:space="preserve">not only shows that survivors of major burn injuries continue to have complications several years after </w:t>
      </w:r>
      <w:proofErr w:type="gramStart"/>
      <w:r>
        <w:rPr>
          <w:rFonts w:asciiTheme="minorHAnsi" w:hAnsiTheme="minorHAnsi"/>
        </w:rPr>
        <w:t>injury, but</w:t>
      </w:r>
      <w:proofErr w:type="gramEnd"/>
      <w:r>
        <w:rPr>
          <w:rFonts w:asciiTheme="minorHAnsi" w:hAnsiTheme="minorHAnsi"/>
        </w:rPr>
        <w:t xml:space="preserve"> highlights the</w:t>
      </w:r>
      <w:r w:rsidRPr="00085FB5">
        <w:rPr>
          <w:rFonts w:asciiTheme="minorHAnsi" w:hAnsiTheme="minorHAnsi"/>
        </w:rPr>
        <w:t xml:space="preserve"> importance of long-term follow-up care and therapeutic interventions for survivors</w:t>
      </w:r>
      <w:r>
        <w:rPr>
          <w:rFonts w:asciiTheme="minorHAnsi" w:hAnsiTheme="minorHAnsi"/>
        </w:rPr>
        <w:t>.</w:t>
      </w:r>
    </w:p>
    <w:p w14:paraId="43C622F3" w14:textId="749E6B81" w:rsidR="00AE656A" w:rsidRDefault="00AE656A" w:rsidP="00AE656A">
      <w:pPr>
        <w:pStyle w:val="Heading3"/>
      </w:pPr>
      <w:r w:rsidRPr="000B1BE7">
        <w:t>Who participated in the study?</w:t>
      </w:r>
    </w:p>
    <w:p w14:paraId="23379774" w14:textId="77777777" w:rsidR="00AE656A" w:rsidRDefault="00AE656A" w:rsidP="00AE656A">
      <w:pPr>
        <w:ind w:left="90"/>
      </w:pPr>
      <w:r>
        <w:t xml:space="preserve">Participants (n=98) </w:t>
      </w:r>
      <w:r w:rsidRPr="00A66093">
        <w:t>were 18 years of age or older</w:t>
      </w:r>
      <w:r>
        <w:t xml:space="preserve">, had a </w:t>
      </w:r>
      <w:r w:rsidRPr="00A66093">
        <w:t>Total Body Surface Area burn</w:t>
      </w:r>
      <w:r>
        <w:t xml:space="preserve"> of 30% or greater, and were three years or more from the time of injury. </w:t>
      </w:r>
    </w:p>
    <w:p w14:paraId="26B9F916" w14:textId="77777777" w:rsidR="00AE656A" w:rsidRDefault="00AE656A" w:rsidP="00AE656A">
      <w:pPr>
        <w:pStyle w:val="Heading3"/>
      </w:pPr>
      <w:bookmarkStart w:id="0" w:name="_Hlk2597887"/>
      <w:r w:rsidRPr="00FA28FF">
        <w:t>How was the study conducted?</w:t>
      </w:r>
    </w:p>
    <w:bookmarkEnd w:id="0"/>
    <w:p w14:paraId="1B676503" w14:textId="07A10C79" w:rsidR="000C0DC4" w:rsidRPr="000C0DC4" w:rsidRDefault="00AE656A" w:rsidP="000C0DC4">
      <w:pPr>
        <w:autoSpaceDE w:val="0"/>
        <w:autoSpaceDN w:val="0"/>
        <w:adjustRightInd w:val="0"/>
        <w:spacing w:before="0" w:after="0" w:line="240" w:lineRule="auto"/>
        <w:ind w:left="90"/>
        <w:rPr>
          <w:rFonts w:cs="Tahoma"/>
          <w:bCs/>
        </w:rPr>
      </w:pPr>
      <w:r w:rsidRPr="00AC0835">
        <w:rPr>
          <w:rFonts w:cs="Tahoma"/>
          <w:bCs/>
        </w:rPr>
        <w:t>Each participant underwent a comprehensive history and physical examination by a senior and experienced Physical Medicine and Rehabilitation physician. Participants were then asked to complete a Medical Problem checklist</w:t>
      </w:r>
      <w:r w:rsidR="000C0DC4">
        <w:rPr>
          <w:rFonts w:cs="Tahoma"/>
          <w:bCs/>
        </w:rPr>
        <w:t xml:space="preserve">, </w:t>
      </w:r>
      <w:r w:rsidR="000C0DC4" w:rsidRPr="000C0DC4">
        <w:rPr>
          <w:rFonts w:cs="Tahoma"/>
          <w:bCs/>
        </w:rPr>
        <w:t>the</w:t>
      </w:r>
      <w:bookmarkStart w:id="1" w:name="_GoBack"/>
      <w:bookmarkEnd w:id="1"/>
      <w:r w:rsidR="000C0DC4" w:rsidRPr="000C0DC4">
        <w:rPr>
          <w:rFonts w:cs="Tahoma"/>
          <w:bCs/>
        </w:rPr>
        <w:t xml:space="preserve"> Burn-Specific Health Scale</w:t>
      </w:r>
      <w:r w:rsidR="000C0DC4">
        <w:rPr>
          <w:rFonts w:cs="Tahoma"/>
          <w:bCs/>
        </w:rPr>
        <w:t xml:space="preserve">, and </w:t>
      </w:r>
      <w:r w:rsidR="000C0DC4" w:rsidRPr="000C0DC4">
        <w:rPr>
          <w:rFonts w:cs="Tahoma"/>
          <w:bCs/>
        </w:rPr>
        <w:t xml:space="preserve">a self-report </w:t>
      </w:r>
      <w:r w:rsidR="000C0DC4">
        <w:rPr>
          <w:rFonts w:cs="Tahoma"/>
          <w:bCs/>
        </w:rPr>
        <w:t>that</w:t>
      </w:r>
      <w:r w:rsidR="000C0DC4" w:rsidRPr="000C0DC4">
        <w:rPr>
          <w:rFonts w:cs="Tahoma"/>
          <w:bCs/>
        </w:rPr>
        <w:t xml:space="preserve"> measure</w:t>
      </w:r>
      <w:r w:rsidR="000C0DC4">
        <w:rPr>
          <w:rFonts w:cs="Tahoma"/>
          <w:bCs/>
        </w:rPr>
        <w:t>s</w:t>
      </w:r>
      <w:r w:rsidR="000C0DC4" w:rsidRPr="000C0DC4">
        <w:rPr>
          <w:rFonts w:cs="Tahoma"/>
          <w:bCs/>
        </w:rPr>
        <w:t xml:space="preserve"> the</w:t>
      </w:r>
      <w:r w:rsidR="000C0DC4">
        <w:rPr>
          <w:rFonts w:cs="Tahoma"/>
          <w:bCs/>
        </w:rPr>
        <w:t xml:space="preserve"> level of functional adaptation following a burn injury.</w:t>
      </w:r>
    </w:p>
    <w:p w14:paraId="5BFA4E9E" w14:textId="0F05F3F9" w:rsidR="003E26C3" w:rsidRDefault="003E26C3" w:rsidP="003E26C3">
      <w:pPr>
        <w:pStyle w:val="Heading3"/>
      </w:pPr>
      <w:bookmarkStart w:id="2" w:name="_Hlk12435457"/>
      <w:r w:rsidRPr="00FA28FF">
        <w:t xml:space="preserve">How </w:t>
      </w:r>
      <w:r>
        <w:t>can people use the results</w:t>
      </w:r>
      <w:r w:rsidRPr="00FA28FF">
        <w:t>?</w:t>
      </w:r>
    </w:p>
    <w:bookmarkEnd w:id="2"/>
    <w:p w14:paraId="0AB3C59A" w14:textId="3BF42A4C" w:rsidR="00AE656A" w:rsidRDefault="003E26C3" w:rsidP="008D1050">
      <w:pPr>
        <w:pStyle w:val="Body"/>
        <w:rPr>
          <w:rFonts w:asciiTheme="minorHAnsi" w:hAnsiTheme="minorHAnsi"/>
        </w:rPr>
      </w:pPr>
      <w:r>
        <w:rPr>
          <w:rFonts w:asciiTheme="minorHAnsi" w:hAnsiTheme="minorHAnsi"/>
        </w:rPr>
        <w:t>Clinician</w:t>
      </w:r>
      <w:r w:rsidR="00FA0B89">
        <w:rPr>
          <w:rFonts w:asciiTheme="minorHAnsi" w:hAnsiTheme="minorHAnsi"/>
        </w:rPr>
        <w:t>s</w:t>
      </w:r>
      <w:r>
        <w:rPr>
          <w:rFonts w:asciiTheme="minorHAnsi" w:hAnsiTheme="minorHAnsi"/>
        </w:rPr>
        <w:t xml:space="preserve"> and </w:t>
      </w:r>
      <w:r w:rsidR="00FA0B89">
        <w:rPr>
          <w:rFonts w:asciiTheme="minorHAnsi" w:hAnsiTheme="minorHAnsi"/>
        </w:rPr>
        <w:t>survivors of major burn injuries</w:t>
      </w:r>
      <w:r>
        <w:rPr>
          <w:rFonts w:asciiTheme="minorHAnsi" w:hAnsiTheme="minorHAnsi"/>
        </w:rPr>
        <w:t xml:space="preserve"> alike can use the results of this study to increase</w:t>
      </w:r>
      <w:r w:rsidR="001901CD">
        <w:rPr>
          <w:rFonts w:asciiTheme="minorHAnsi" w:hAnsiTheme="minorHAnsi"/>
        </w:rPr>
        <w:t xml:space="preserve"> their</w:t>
      </w:r>
      <w:r>
        <w:rPr>
          <w:rFonts w:asciiTheme="minorHAnsi" w:hAnsiTheme="minorHAnsi"/>
        </w:rPr>
        <w:t xml:space="preserve"> awareness regarding long-term complications following a major burn injury. The results also highlight the importance</w:t>
      </w:r>
      <w:r w:rsidR="00CB3F05">
        <w:rPr>
          <w:rFonts w:asciiTheme="minorHAnsi" w:hAnsiTheme="minorHAnsi"/>
        </w:rPr>
        <w:t xml:space="preserve"> of</w:t>
      </w:r>
      <w:r>
        <w:rPr>
          <w:rFonts w:asciiTheme="minorHAnsi" w:hAnsiTheme="minorHAnsi"/>
        </w:rPr>
        <w:t xml:space="preserve"> </w:t>
      </w:r>
      <w:r w:rsidRPr="003E26C3">
        <w:rPr>
          <w:rFonts w:asciiTheme="minorHAnsi" w:hAnsiTheme="minorHAnsi"/>
        </w:rPr>
        <w:t xml:space="preserve">long-term follow-up care and therapeutic interventions for </w:t>
      </w:r>
      <w:r w:rsidR="00FA0B89">
        <w:rPr>
          <w:rFonts w:asciiTheme="minorHAnsi" w:hAnsiTheme="minorHAnsi"/>
        </w:rPr>
        <w:t>survivors of major burn injuries</w:t>
      </w:r>
      <w:r w:rsidR="00CB3F05">
        <w:rPr>
          <w:rFonts w:asciiTheme="minorHAnsi" w:hAnsiTheme="minorHAnsi"/>
        </w:rPr>
        <w:t xml:space="preserve">. </w:t>
      </w:r>
    </w:p>
    <w:p w14:paraId="248934DF" w14:textId="281A5299" w:rsidR="003E26C3" w:rsidRPr="00BC0942" w:rsidRDefault="00BC0942" w:rsidP="00BC0942">
      <w:pPr>
        <w:pStyle w:val="Heading3"/>
      </w:pPr>
      <w:r>
        <w:t>Reference</w:t>
      </w:r>
    </w:p>
    <w:p w14:paraId="250B22C5" w14:textId="5AAB0FD7" w:rsidR="008D1050" w:rsidRPr="00495409" w:rsidRDefault="008D1050" w:rsidP="008D1050">
      <w:pPr>
        <w:pStyle w:val="Body"/>
        <w:rPr>
          <w:rFonts w:asciiTheme="minorHAnsi" w:hAnsiTheme="minorHAnsi"/>
        </w:rPr>
      </w:pPr>
      <w:r w:rsidRPr="002452B9">
        <w:rPr>
          <w:sz w:val="18"/>
          <w:szCs w:val="18"/>
        </w:rPr>
        <w:t xml:space="preserve">Radha K. Holavanahalli, </w:t>
      </w:r>
      <w:proofErr w:type="spellStart"/>
      <w:r w:rsidRPr="002452B9">
        <w:rPr>
          <w:sz w:val="18"/>
          <w:szCs w:val="18"/>
        </w:rPr>
        <w:t>Phala</w:t>
      </w:r>
      <w:proofErr w:type="spellEnd"/>
      <w:r w:rsidRPr="002452B9">
        <w:rPr>
          <w:sz w:val="18"/>
          <w:szCs w:val="18"/>
        </w:rPr>
        <w:t xml:space="preserve"> A. Helm, Karen J. </w:t>
      </w:r>
      <w:proofErr w:type="spellStart"/>
      <w:r w:rsidRPr="002452B9">
        <w:rPr>
          <w:sz w:val="18"/>
          <w:szCs w:val="18"/>
        </w:rPr>
        <w:t>Kowalske</w:t>
      </w:r>
      <w:proofErr w:type="spellEnd"/>
      <w:r w:rsidRPr="002452B9">
        <w:rPr>
          <w:sz w:val="18"/>
          <w:szCs w:val="18"/>
        </w:rPr>
        <w:t xml:space="preserve">; Long-Term Outcomes in Patients Surviving Large Burns: The Musculoskeletal System, </w:t>
      </w:r>
      <w:r w:rsidRPr="002452B9">
        <w:rPr>
          <w:i/>
          <w:sz w:val="18"/>
          <w:szCs w:val="18"/>
        </w:rPr>
        <w:t>Journal of Burn Care &amp; Research</w:t>
      </w:r>
      <w:r w:rsidRPr="002452B9">
        <w:rPr>
          <w:sz w:val="18"/>
          <w:szCs w:val="18"/>
        </w:rPr>
        <w:t xml:space="preserve">, Volume 37, Issue 4, 1 July 2016, Pages 243–254, </w:t>
      </w:r>
      <w:hyperlink r:id="rId13" w:history="1">
        <w:r w:rsidR="00F20CDE" w:rsidRPr="0035066E">
          <w:rPr>
            <w:rStyle w:val="Hyperlink"/>
            <w:sz w:val="18"/>
            <w:szCs w:val="18"/>
          </w:rPr>
          <w:t>https://doi.org/10.1097/BCR.0000000000000257</w:t>
        </w:r>
      </w:hyperlink>
      <w:r w:rsidR="00F20CDE">
        <w:rPr>
          <w:sz w:val="18"/>
          <w:szCs w:val="18"/>
        </w:rPr>
        <w:t xml:space="preserve"> </w:t>
      </w:r>
    </w:p>
    <w:p w14:paraId="4AE31DBC" w14:textId="77777777" w:rsidR="00BC0942" w:rsidRDefault="00BC0942" w:rsidP="00BC0942">
      <w:pPr>
        <w:pStyle w:val="Heading3"/>
      </w:pPr>
      <w:r>
        <w:lastRenderedPageBreak/>
        <w:t>Disclaimer</w:t>
      </w:r>
    </w:p>
    <w:p w14:paraId="45BAB921" w14:textId="7EBD9AA8" w:rsidR="00AE656A" w:rsidRPr="00BC0942" w:rsidRDefault="00AE656A" w:rsidP="00BC0942">
      <w:pPr>
        <w:pStyle w:val="Heading3"/>
        <w:rPr>
          <w:rFonts w:asciiTheme="minorHAnsi" w:hAnsiTheme="minorHAnsi"/>
          <w:b w:val="0"/>
          <w:sz w:val="18"/>
          <w:szCs w:val="18"/>
        </w:rPr>
      </w:pPr>
      <w:r w:rsidRPr="00BC0942">
        <w:rPr>
          <w:rFonts w:asciiTheme="minorHAnsi" w:hAnsiTheme="minorHAnsi"/>
          <w:b w:val="0"/>
          <w:color w:val="000000" w:themeColor="text1"/>
          <w:sz w:val="18"/>
          <w:szCs w:val="18"/>
        </w:rPr>
        <w:t>The contents of this quick review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p w14:paraId="3899D731" w14:textId="77777777" w:rsidR="00234ABF" w:rsidRPr="00BC0942" w:rsidRDefault="00234ABF">
      <w:pPr>
        <w:rPr>
          <w:sz w:val="18"/>
          <w:szCs w:val="18"/>
        </w:rPr>
      </w:pPr>
    </w:p>
    <w:sectPr w:rsidR="00234ABF" w:rsidRPr="00BC0942"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5DF0" w14:textId="77777777" w:rsidR="00015310" w:rsidRDefault="00015310" w:rsidP="00AE656A">
      <w:pPr>
        <w:spacing w:before="0" w:after="0" w:line="240" w:lineRule="auto"/>
      </w:pPr>
      <w:r>
        <w:separator/>
      </w:r>
    </w:p>
  </w:endnote>
  <w:endnote w:type="continuationSeparator" w:id="0">
    <w:p w14:paraId="7A3C8DC5" w14:textId="77777777" w:rsidR="00015310" w:rsidRDefault="00015310" w:rsidP="00AE65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E374" w14:textId="77777777" w:rsidR="00AE656A" w:rsidRPr="006C4AAA" w:rsidRDefault="00015310"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AE656A" w:rsidRPr="006C4AAA">
        <w:rPr>
          <w:rStyle w:val="Hyperlink"/>
          <w:color w:val="FFFFFF" w:themeColor="background1"/>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D507" w14:textId="77777777" w:rsidR="00015310" w:rsidRDefault="00015310" w:rsidP="00AE656A">
      <w:pPr>
        <w:spacing w:before="0" w:after="0" w:line="240" w:lineRule="auto"/>
      </w:pPr>
      <w:r>
        <w:separator/>
      </w:r>
    </w:p>
  </w:footnote>
  <w:footnote w:type="continuationSeparator" w:id="0">
    <w:p w14:paraId="319F2F4E" w14:textId="77777777" w:rsidR="00015310" w:rsidRDefault="00015310" w:rsidP="00AE65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3F55" w14:textId="77777777" w:rsidR="00AE656A" w:rsidRPr="00282533" w:rsidRDefault="00AE656A"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6A"/>
    <w:rsid w:val="00015310"/>
    <w:rsid w:val="0003158E"/>
    <w:rsid w:val="000715CE"/>
    <w:rsid w:val="00085FB5"/>
    <w:rsid w:val="000C0DC4"/>
    <w:rsid w:val="001901CD"/>
    <w:rsid w:val="00234ABF"/>
    <w:rsid w:val="003D5834"/>
    <w:rsid w:val="003E26C3"/>
    <w:rsid w:val="00506BDB"/>
    <w:rsid w:val="00564873"/>
    <w:rsid w:val="006D3FDD"/>
    <w:rsid w:val="008A42D9"/>
    <w:rsid w:val="008D1050"/>
    <w:rsid w:val="009278BA"/>
    <w:rsid w:val="0097184E"/>
    <w:rsid w:val="00AE656A"/>
    <w:rsid w:val="00BC0942"/>
    <w:rsid w:val="00CB3F05"/>
    <w:rsid w:val="00D93FAD"/>
    <w:rsid w:val="00EB27C5"/>
    <w:rsid w:val="00EF01C2"/>
    <w:rsid w:val="00F20CDE"/>
    <w:rsid w:val="00FA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8C0E"/>
  <w15:chartTrackingRefBased/>
  <w15:docId w15:val="{815371C8-CE7B-4157-9303-316B53E2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56A"/>
    <w:pPr>
      <w:spacing w:before="120" w:after="120" w:line="276" w:lineRule="auto"/>
    </w:pPr>
  </w:style>
  <w:style w:type="paragraph" w:styleId="Heading1">
    <w:name w:val="heading 1"/>
    <w:link w:val="Heading1Char"/>
    <w:uiPriority w:val="9"/>
    <w:qFormat/>
    <w:rsid w:val="00AE656A"/>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AE656A"/>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AE656A"/>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6A"/>
    <w:rPr>
      <w:rFonts w:ascii="Arial" w:hAnsi="Arial" w:cs="Arial"/>
      <w:b/>
      <w:color w:val="006F42"/>
      <w:sz w:val="40"/>
      <w:szCs w:val="40"/>
    </w:rPr>
  </w:style>
  <w:style w:type="character" w:customStyle="1" w:styleId="Heading2Char">
    <w:name w:val="Heading 2 Char"/>
    <w:basedOn w:val="DefaultParagraphFont"/>
    <w:link w:val="Heading2"/>
    <w:uiPriority w:val="9"/>
    <w:rsid w:val="00AE656A"/>
    <w:rPr>
      <w:rFonts w:ascii="Arial" w:eastAsiaTheme="majorEastAsia" w:hAnsi="Arial" w:cstheme="minorHAnsi"/>
      <w:b/>
      <w:bCs/>
      <w:noProof/>
      <w:color w:val="CA602C"/>
      <w:sz w:val="28"/>
      <w:szCs w:val="32"/>
    </w:rPr>
  </w:style>
  <w:style w:type="character" w:customStyle="1" w:styleId="Heading3Char">
    <w:name w:val="Heading 3 Char"/>
    <w:basedOn w:val="DefaultParagraphFont"/>
    <w:link w:val="Heading3"/>
    <w:uiPriority w:val="9"/>
    <w:rsid w:val="00AE656A"/>
    <w:rPr>
      <w:rFonts w:ascii="Arial Narrow" w:eastAsiaTheme="majorEastAsia" w:hAnsi="Arial Narrow" w:cstheme="minorHAnsi"/>
      <w:b/>
      <w:bCs/>
      <w:noProof/>
      <w:color w:val="006F42"/>
      <w:sz w:val="24"/>
      <w:szCs w:val="26"/>
    </w:rPr>
  </w:style>
  <w:style w:type="paragraph" w:styleId="Header">
    <w:name w:val="header"/>
    <w:basedOn w:val="Normal"/>
    <w:link w:val="HeaderChar"/>
    <w:uiPriority w:val="99"/>
    <w:unhideWhenUsed/>
    <w:rsid w:val="00AE65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656A"/>
  </w:style>
  <w:style w:type="paragraph" w:customStyle="1" w:styleId="Body">
    <w:name w:val="Body"/>
    <w:qFormat/>
    <w:rsid w:val="00AE656A"/>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AE656A"/>
    <w:rPr>
      <w:vertAlign w:val="superscript"/>
    </w:rPr>
  </w:style>
  <w:style w:type="character" w:styleId="Hyperlink">
    <w:name w:val="Hyperlink"/>
    <w:basedOn w:val="DefaultParagraphFont"/>
    <w:uiPriority w:val="99"/>
    <w:unhideWhenUsed/>
    <w:rsid w:val="00AE656A"/>
    <w:rPr>
      <w:color w:val="0563C1" w:themeColor="hyperlink"/>
      <w:u w:val="single"/>
    </w:rPr>
  </w:style>
  <w:style w:type="paragraph" w:customStyle="1" w:styleId="Logo">
    <w:name w:val="Logo"/>
    <w:qFormat/>
    <w:rsid w:val="00AE656A"/>
    <w:pPr>
      <w:spacing w:after="200" w:line="240" w:lineRule="auto"/>
      <w:ind w:left="86"/>
    </w:pPr>
    <w:rPr>
      <w:rFonts w:cstheme="minorHAnsi"/>
      <w:bCs/>
      <w:szCs w:val="20"/>
    </w:rPr>
  </w:style>
  <w:style w:type="paragraph" w:customStyle="1" w:styleId="Background">
    <w:name w:val="Background"/>
    <w:qFormat/>
    <w:rsid w:val="00AE656A"/>
    <w:pPr>
      <w:spacing w:before="360" w:after="200" w:line="276" w:lineRule="auto"/>
      <w:jc w:val="center"/>
    </w:pPr>
    <w:rPr>
      <w:rFonts w:ascii="Arial Narrow" w:hAnsi="Arial Narrow" w:cstheme="minorHAnsi"/>
      <w:sz w:val="18"/>
    </w:rPr>
  </w:style>
  <w:style w:type="character" w:styleId="UnresolvedMention">
    <w:name w:val="Unresolved Mention"/>
    <w:basedOn w:val="DefaultParagraphFont"/>
    <w:uiPriority w:val="99"/>
    <w:semiHidden/>
    <w:unhideWhenUsed/>
    <w:rsid w:val="00FA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97/BCR.0000000000000257"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merriam-webster.com/dictionary/axil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yoclinic.org/diseases-conditions/bone-and-joint-infections/symptoms-causes/syc-2035075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erriam-webster.com/dictionary/contractures" TargetMode="External"/><Relationship Id="rId4" Type="http://schemas.openxmlformats.org/officeDocument/2006/relationships/footnotes" Target="footnotes.xml"/><Relationship Id="rId9" Type="http://schemas.openxmlformats.org/officeDocument/2006/relationships/hyperlink" Target="https://www.merriam-webster.com/dictionary/musculoskelet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Merykokeb</dc:creator>
  <cp:keywords/>
  <dc:description/>
  <cp:lastModifiedBy>Rasmussen, Jeremy</cp:lastModifiedBy>
  <cp:revision>2</cp:revision>
  <dcterms:created xsi:type="dcterms:W3CDTF">2019-06-26T15:00:00Z</dcterms:created>
  <dcterms:modified xsi:type="dcterms:W3CDTF">2019-06-26T15:00:00Z</dcterms:modified>
</cp:coreProperties>
</file>