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043ECBBF" w:rsidR="00615CAD" w:rsidRPr="00A3453C" w:rsidRDefault="00087684" w:rsidP="00A871C6">
      <w:pPr>
        <w:pStyle w:val="Heading2"/>
      </w:pPr>
      <w:bookmarkStart w:id="0" w:name="_Hlk10532317"/>
      <w:r>
        <w:t>A Comparison of Diagnostic Stability of the ASIA Impairment Scale Versus Frankel Classification Systems for Traumatic Spinal Cord Injury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00FEEA9E" w:rsidR="004F1F2F" w:rsidRPr="00DC10D0" w:rsidRDefault="00640BA6" w:rsidP="001A558E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In 1992 the </w:t>
      </w:r>
      <w:r w:rsidRPr="00DC10D0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American Spinal Injury Association (ASIA) </w:t>
      </w:r>
      <w:r>
        <w:rPr>
          <w:rFonts w:asciiTheme="minorHAnsi" w:hAnsiTheme="minorHAnsi"/>
          <w:b w:val="0"/>
          <w:color w:val="auto"/>
          <w:sz w:val="22"/>
          <w:szCs w:val="22"/>
        </w:rPr>
        <w:t>Impairment Scale replaced the previously uti</w:t>
      </w:r>
      <w:r w:rsidR="00CF40A2">
        <w:rPr>
          <w:rFonts w:asciiTheme="minorHAnsi" w:hAnsiTheme="minorHAnsi"/>
          <w:b w:val="0"/>
          <w:color w:val="auto"/>
          <w:sz w:val="22"/>
          <w:szCs w:val="22"/>
        </w:rPr>
        <w:t>lized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Frankel Classification to describe the severity of spinal cord injury. The key feature of this change was utilizing ‘sacral sparing’ as the key determination between a neurologically complete vs incomplete injury.  Some have questioned whether this change led to a more stable definition of completeness of injury. </w:t>
      </w:r>
      <w:r w:rsidR="004F1F2F" w:rsidRPr="00DC10D0">
        <w:rPr>
          <w:rFonts w:asciiTheme="minorHAnsi" w:hAnsiTheme="minorHAnsi"/>
          <w:b w:val="0"/>
          <w:color w:val="auto"/>
          <w:sz w:val="22"/>
          <w:szCs w:val="22"/>
        </w:rPr>
        <w:t>This study aim</w:t>
      </w:r>
      <w:r>
        <w:rPr>
          <w:rFonts w:asciiTheme="minorHAnsi" w:hAnsiTheme="minorHAnsi"/>
          <w:b w:val="0"/>
          <w:color w:val="auto"/>
          <w:sz w:val="22"/>
          <w:szCs w:val="22"/>
        </w:rPr>
        <w:t>ed</w:t>
      </w:r>
      <w:r w:rsidR="004F1F2F" w:rsidRPr="00DC10D0">
        <w:rPr>
          <w:rFonts w:asciiTheme="minorHAnsi" w:hAnsiTheme="minorHAnsi"/>
          <w:b w:val="0"/>
          <w:color w:val="auto"/>
          <w:sz w:val="22"/>
          <w:szCs w:val="22"/>
        </w:rPr>
        <w:t xml:space="preserve"> to </w:t>
      </w:r>
      <w:r w:rsidR="00104ED5" w:rsidRPr="00DC10D0">
        <w:rPr>
          <w:rFonts w:asciiTheme="minorHAnsi" w:hAnsiTheme="minorHAnsi"/>
          <w:b w:val="0"/>
          <w:color w:val="auto"/>
          <w:sz w:val="22"/>
          <w:szCs w:val="22"/>
        </w:rPr>
        <w:t>determine if the</w:t>
      </w:r>
      <w:r w:rsidR="004D1D84" w:rsidRPr="00DC10D0">
        <w:rPr>
          <w:rFonts w:asciiTheme="minorHAnsi" w:hAnsiTheme="minorHAnsi"/>
          <w:b w:val="0"/>
          <w:color w:val="auto"/>
          <w:sz w:val="22"/>
          <w:szCs w:val="22"/>
        </w:rPr>
        <w:t xml:space="preserve"> AIS </w:t>
      </w:r>
      <w:r w:rsidR="00104ED5" w:rsidRPr="00DC10D0">
        <w:rPr>
          <w:rFonts w:asciiTheme="minorHAnsi" w:hAnsiTheme="minorHAnsi"/>
          <w:b w:val="0"/>
          <w:color w:val="auto"/>
          <w:sz w:val="22"/>
          <w:szCs w:val="22"/>
        </w:rPr>
        <w:t>is a more stable than Frankel Classification</w:t>
      </w:r>
      <w:r w:rsidR="004D1D84" w:rsidRPr="00DC10D0">
        <w:rPr>
          <w:rFonts w:asciiTheme="minorHAnsi" w:hAnsiTheme="minorHAnsi"/>
          <w:b w:val="0"/>
          <w:color w:val="auto"/>
          <w:sz w:val="22"/>
          <w:szCs w:val="22"/>
        </w:rPr>
        <w:t xml:space="preserve"> in properly predicting the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severity of the </w:t>
      </w:r>
      <w:r w:rsidR="004D1D84" w:rsidRPr="00DC10D0">
        <w:rPr>
          <w:rFonts w:asciiTheme="minorHAnsi" w:hAnsiTheme="minorHAnsi"/>
          <w:b w:val="0"/>
          <w:color w:val="auto"/>
          <w:sz w:val="22"/>
          <w:szCs w:val="22"/>
        </w:rPr>
        <w:t>spinal cord injury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by looking at the proportion of cases where regression (conversion to a more severe impairment level) was observed, especially for persons who improved over the course of tehir first year after injury</w:t>
      </w:r>
      <w:r w:rsidR="00104ED5" w:rsidRPr="00DC10D0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BE1514" w:rsidRPr="00DC10D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104ED5" w:rsidRPr="00DC10D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2FADBA68" w:rsidR="00A1328A" w:rsidRPr="00A1328A" w:rsidRDefault="00A1328A" w:rsidP="00196C46">
      <w:pPr>
        <w:ind w:left="90"/>
      </w:pPr>
      <w:r w:rsidRPr="00895BED">
        <w:t xml:space="preserve">This study found </w:t>
      </w:r>
      <w:r w:rsidR="00895BED" w:rsidRPr="00895BED">
        <w:t>that</w:t>
      </w:r>
      <w:r w:rsidR="000C68FF">
        <w:t xml:space="preserve"> the</w:t>
      </w:r>
      <w:r w:rsidR="00895BED">
        <w:t xml:space="preserve"> </w:t>
      </w:r>
      <w:r w:rsidR="004D1D84">
        <w:t xml:space="preserve">AIS </w:t>
      </w:r>
      <w:r w:rsidR="000C68FF">
        <w:t>‘</w:t>
      </w:r>
      <w:r w:rsidR="00895BED">
        <w:t>sacral sparing</w:t>
      </w:r>
      <w:r w:rsidR="000C68FF">
        <w:t>’</w:t>
      </w:r>
      <w:r w:rsidR="00895BED">
        <w:t xml:space="preserve"> is a more stable definition for the neurological classification of SCI.</w:t>
      </w:r>
      <w:r w:rsidR="004D1D84">
        <w:t xml:space="preserve"> Its classification of complete or incomplete </w:t>
      </w:r>
      <w:r w:rsidR="00E02B4C">
        <w:t>injury</w:t>
      </w:r>
      <w:r w:rsidR="004D1D84">
        <w:t xml:space="preserve"> does not </w:t>
      </w:r>
      <w:r w:rsidR="00640BA6">
        <w:t>regress over time, most importantly while the patient shows neurological recovery over the first year</w:t>
      </w:r>
      <w:r w:rsidR="004D1D84">
        <w:t>. The Frankel Classification is more likely to change from incomplete to complete over the assessment period of the study.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545498F2" w:rsidR="00196C46" w:rsidRPr="00196C46" w:rsidRDefault="00196C46" w:rsidP="00196C46">
      <w:pPr>
        <w:ind w:left="90"/>
      </w:pPr>
      <w:r>
        <w:t>Individuals</w:t>
      </w:r>
      <w:r w:rsidR="00EE6181">
        <w:t xml:space="preserve"> </w:t>
      </w:r>
      <w:r>
        <w:t>(n=</w:t>
      </w:r>
      <w:r w:rsidR="00EE6181">
        <w:t>804</w:t>
      </w:r>
      <w:r>
        <w:t xml:space="preserve">) </w:t>
      </w:r>
      <w:r w:rsidR="00EE6181">
        <w:t xml:space="preserve">with traumatic SCI, age 16 years old or older at time of injury with admission to rehabilitation within 30 days of injury, and AIS </w:t>
      </w:r>
      <w:r w:rsidR="000C68FF">
        <w:t xml:space="preserve">grades </w:t>
      </w:r>
      <w:r w:rsidR="00EE6181">
        <w:t>A</w:t>
      </w:r>
      <w:r w:rsidR="000C68FF">
        <w:t xml:space="preserve"> to </w:t>
      </w:r>
      <w:r w:rsidR="00EE6181">
        <w:t xml:space="preserve">D at admission. 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7CE6CB98" w:rsidR="00196C46" w:rsidRPr="00196C46" w:rsidRDefault="00196C46" w:rsidP="00196C46">
      <w:pPr>
        <w:ind w:left="90"/>
      </w:pPr>
      <w:r>
        <w:t xml:space="preserve">This study </w:t>
      </w:r>
      <w:r w:rsidR="004D1D84">
        <w:t>performed</w:t>
      </w:r>
      <w:r>
        <w:t xml:space="preserve"> a </w:t>
      </w:r>
      <w:r w:rsidR="00EE6181">
        <w:t>retrospective</w:t>
      </w:r>
      <w:r w:rsidR="004D1D84">
        <w:t xml:space="preserve"> chart review </w:t>
      </w:r>
      <w:r w:rsidR="00EE6181">
        <w:t>of persons enrolled in the Spinal Cord Injury Model Systems (SCIMS) database from 2011-2018</w:t>
      </w:r>
      <w:r>
        <w:t>.</w:t>
      </w:r>
      <w:r w:rsidR="002051A1">
        <w:t xml:space="preserve"> Stability was compared between the two classification systems by calculating the </w:t>
      </w:r>
      <w:r w:rsidR="008941B7">
        <w:t>rate</w:t>
      </w:r>
      <w:r w:rsidR="002051A1">
        <w:t xml:space="preserve"> of cases where participants changed to a more severe</w:t>
      </w:r>
      <w:r w:rsidR="00A87546">
        <w:t xml:space="preserve"> </w:t>
      </w:r>
      <w:r w:rsidR="00A81BEF">
        <w:t>grade</w:t>
      </w:r>
      <w:r w:rsidR="00A87546">
        <w:t xml:space="preserve"> of</w:t>
      </w:r>
      <w:r w:rsidR="002051A1">
        <w:t xml:space="preserve"> impairment. </w:t>
      </w:r>
    </w:p>
    <w:p w14:paraId="31DAE8BE" w14:textId="77777777" w:rsidR="00DC10D0" w:rsidRDefault="00DC10D0" w:rsidP="00DC10D0">
      <w:pPr>
        <w:pStyle w:val="Heading3"/>
      </w:pPr>
      <w:r>
        <w:t>How can people use the results?</w:t>
      </w:r>
    </w:p>
    <w:p w14:paraId="1E8E2467" w14:textId="22EE653D" w:rsidR="00DC10D0" w:rsidRPr="00DC10D0" w:rsidRDefault="00DC10D0" w:rsidP="00DC10D0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5D5B97">
        <w:rPr>
          <w:rFonts w:asciiTheme="minorHAnsi" w:hAnsiTheme="minorHAnsi"/>
          <w:b w:val="0"/>
          <w:color w:val="auto"/>
          <w:sz w:val="22"/>
          <w:szCs w:val="22"/>
        </w:rPr>
        <w:t xml:space="preserve">Practitioners can use the results of this study to better understand why the AIS is </w:t>
      </w:r>
      <w:r w:rsidR="00640BA6">
        <w:rPr>
          <w:rFonts w:asciiTheme="minorHAnsi" w:hAnsiTheme="minorHAnsi"/>
          <w:b w:val="0"/>
          <w:color w:val="auto"/>
          <w:sz w:val="22"/>
          <w:szCs w:val="22"/>
        </w:rPr>
        <w:t xml:space="preserve">more stable </w:t>
      </w:r>
      <w:r w:rsidRPr="005D5B97">
        <w:rPr>
          <w:rFonts w:asciiTheme="minorHAnsi" w:hAnsiTheme="minorHAnsi"/>
          <w:b w:val="0"/>
          <w:color w:val="auto"/>
          <w:sz w:val="22"/>
          <w:szCs w:val="22"/>
        </w:rPr>
        <w:t xml:space="preserve"> than the Frankel Classification for </w:t>
      </w:r>
      <w:r w:rsidR="00640BA6">
        <w:rPr>
          <w:rFonts w:asciiTheme="minorHAnsi" w:hAnsiTheme="minorHAnsi"/>
          <w:b w:val="0"/>
          <w:color w:val="auto"/>
          <w:sz w:val="22"/>
          <w:szCs w:val="22"/>
        </w:rPr>
        <w:t>classifying</w:t>
      </w:r>
      <w:r w:rsidRPr="005D5B97">
        <w:rPr>
          <w:rFonts w:asciiTheme="minorHAnsi" w:hAnsiTheme="minorHAnsi"/>
          <w:b w:val="0"/>
          <w:color w:val="auto"/>
          <w:sz w:val="22"/>
          <w:szCs w:val="22"/>
        </w:rPr>
        <w:t xml:space="preserve"> traumatic SCI severity.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0AFFD16" w14:textId="42ED2415" w:rsidR="00E41616" w:rsidRDefault="00622485" w:rsidP="00C325DE">
      <w:pPr>
        <w:pStyle w:val="Heading3"/>
      </w:pPr>
      <w:r>
        <w:t xml:space="preserve">Reference </w:t>
      </w:r>
    </w:p>
    <w:p w14:paraId="4CA37637" w14:textId="70CAB661" w:rsidR="0075592A" w:rsidRPr="00087684" w:rsidRDefault="00087684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 xml:space="preserve">Kirshblum, S., </w:t>
      </w:r>
      <w:proofErr w:type="spellStart"/>
      <w:r>
        <w:rPr>
          <w:rFonts w:ascii="Calibri" w:eastAsia="Calibri" w:hAnsi="Calibri" w:cs="Calibri"/>
        </w:rPr>
        <w:t>Botticello</w:t>
      </w:r>
      <w:proofErr w:type="spellEnd"/>
      <w:r>
        <w:rPr>
          <w:rFonts w:ascii="Calibri" w:eastAsia="Calibri" w:hAnsi="Calibri" w:cs="Calibri"/>
        </w:rPr>
        <w:t xml:space="preserve">, A., Benedetto, J., </w:t>
      </w:r>
      <w:proofErr w:type="spellStart"/>
      <w:r>
        <w:rPr>
          <w:rFonts w:ascii="Calibri" w:eastAsia="Calibri" w:hAnsi="Calibri" w:cs="Calibri"/>
        </w:rPr>
        <w:t>Donovon</w:t>
      </w:r>
      <w:proofErr w:type="spellEnd"/>
      <w:r>
        <w:rPr>
          <w:rFonts w:ascii="Calibri" w:eastAsia="Calibri" w:hAnsi="Calibri" w:cs="Calibri"/>
        </w:rPr>
        <w:t xml:space="preserve">, J., Marino, R., Hsieh, S., &amp; Wagaman, N. 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A comparison of diagnostic stability of the ASIA Impairment Scale versus Frankel Classification Systems for traumatic spinal cord injury</w:t>
      </w:r>
      <w:r w:rsidR="001C0D0C" w:rsidRPr="001C0D0C">
        <w:rPr>
          <w:rFonts w:ascii="Calibri" w:eastAsia="Calibri" w:hAnsi="Calibri" w:cs="Calibri"/>
        </w:rPr>
        <w:t xml:space="preserve">. </w:t>
      </w:r>
      <w:r w:rsidR="001C0D0C" w:rsidRPr="001C0D0C">
        <w:rPr>
          <w:rFonts w:ascii="Calibri" w:eastAsia="Calibri" w:hAnsi="Calibri" w:cs="Calibri"/>
          <w:i/>
        </w:rPr>
        <w:t>Archives of Physical Medicine and Rehabilitation</w:t>
      </w:r>
      <w:r>
        <w:rPr>
          <w:rFonts w:ascii="Calibri" w:eastAsia="Calibri" w:hAnsi="Calibri" w:cs="Calibri"/>
          <w:i/>
        </w:rPr>
        <w:t>,</w:t>
      </w:r>
      <w:r w:rsidR="001C0D0C" w:rsidRPr="001C0D0C">
        <w:rPr>
          <w:rFonts w:ascii="Calibri" w:eastAsia="Calibri" w:hAnsi="Calibri" w:cs="Calibri"/>
        </w:rPr>
        <w:t xml:space="preserve"> </w:t>
      </w:r>
      <w:r w:rsidR="001C0D0C" w:rsidRPr="001C0D0C">
        <w:rPr>
          <w:rFonts w:ascii="Calibri" w:eastAsia="Calibri" w:hAnsi="Calibri" w:cs="Calibri"/>
          <w:i/>
        </w:rPr>
        <w:t>100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Cs/>
        </w:rPr>
        <w:t>doi:</w:t>
      </w:r>
      <w:r w:rsidRPr="00087684">
        <w:rPr>
          <w:rFonts w:ascii="Calibri" w:eastAsia="Calibri" w:hAnsi="Calibri" w:cs="Calibri"/>
          <w:iCs/>
        </w:rPr>
        <w:t>10.1016/j.apmr.2020.05.016</w:t>
      </w:r>
    </w:p>
    <w:p w14:paraId="29B6E8C4" w14:textId="4958E32D" w:rsidR="00A871C6" w:rsidRPr="00CF62E5" w:rsidRDefault="00622485" w:rsidP="00127CEA">
      <w:pPr>
        <w:tabs>
          <w:tab w:val="left" w:pos="6358"/>
        </w:tabs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  <w:r w:rsidR="00127CEA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ab/>
      </w:r>
    </w:p>
    <w:p w14:paraId="4F39F5EE" w14:textId="3413799B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52EFA" w14:textId="77777777" w:rsidR="007C7066" w:rsidRDefault="007C7066">
      <w:pPr>
        <w:spacing w:before="0" w:after="0" w:line="240" w:lineRule="auto"/>
      </w:pPr>
      <w:r>
        <w:separator/>
      </w:r>
    </w:p>
  </w:endnote>
  <w:endnote w:type="continuationSeparator" w:id="0">
    <w:p w14:paraId="565063CF" w14:textId="77777777" w:rsidR="007C7066" w:rsidRDefault="007C7066">
      <w:pPr>
        <w:spacing w:before="0" w:after="0" w:line="240" w:lineRule="auto"/>
      </w:pPr>
      <w:r>
        <w:continuationSeparator/>
      </w:r>
    </w:p>
  </w:endnote>
  <w:endnote w:type="continuationNotice" w:id="1">
    <w:p w14:paraId="77757900" w14:textId="77777777" w:rsidR="007C7066" w:rsidRDefault="007C706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72B94A00" w:rsidR="009154AD" w:rsidRPr="006C4AAA" w:rsidRDefault="007C7066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127CEA" w:rsidRPr="00736028">
        <w:rPr>
          <w:rStyle w:val="Hyperlink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DC994" w14:textId="77777777" w:rsidR="007C7066" w:rsidRPr="006C7FDE" w:rsidRDefault="007C7066" w:rsidP="006C7FDE">
      <w:pPr>
        <w:pStyle w:val="Footer"/>
      </w:pPr>
    </w:p>
  </w:footnote>
  <w:footnote w:type="continuationSeparator" w:id="0">
    <w:p w14:paraId="301D7677" w14:textId="77777777" w:rsidR="007C7066" w:rsidRPr="006C7FDE" w:rsidRDefault="007C7066" w:rsidP="006C7FDE">
      <w:pPr>
        <w:pStyle w:val="Footer"/>
      </w:pPr>
    </w:p>
  </w:footnote>
  <w:footnote w:type="continuationNotice" w:id="1">
    <w:p w14:paraId="148B7BEC" w14:textId="77777777" w:rsidR="007C7066" w:rsidRDefault="007C706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87684"/>
    <w:rsid w:val="000B1BE7"/>
    <w:rsid w:val="000C63F6"/>
    <w:rsid w:val="000C68FF"/>
    <w:rsid w:val="000F205C"/>
    <w:rsid w:val="00101253"/>
    <w:rsid w:val="00104ED5"/>
    <w:rsid w:val="00105E82"/>
    <w:rsid w:val="00113EDB"/>
    <w:rsid w:val="00117A29"/>
    <w:rsid w:val="00117A90"/>
    <w:rsid w:val="00127CEA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051A1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B62CD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1D84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5D5B97"/>
    <w:rsid w:val="00602B69"/>
    <w:rsid w:val="00607F22"/>
    <w:rsid w:val="00615CAD"/>
    <w:rsid w:val="00622485"/>
    <w:rsid w:val="00623BBA"/>
    <w:rsid w:val="00640BA6"/>
    <w:rsid w:val="0064519B"/>
    <w:rsid w:val="00655404"/>
    <w:rsid w:val="0066558D"/>
    <w:rsid w:val="0067140C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066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941B7"/>
    <w:rsid w:val="00895BED"/>
    <w:rsid w:val="008D6A74"/>
    <w:rsid w:val="008F1C67"/>
    <w:rsid w:val="008F230B"/>
    <w:rsid w:val="00914608"/>
    <w:rsid w:val="009154AD"/>
    <w:rsid w:val="00915D3D"/>
    <w:rsid w:val="00924F5E"/>
    <w:rsid w:val="00925EF3"/>
    <w:rsid w:val="0093353B"/>
    <w:rsid w:val="0097551C"/>
    <w:rsid w:val="00981EA8"/>
    <w:rsid w:val="009866FC"/>
    <w:rsid w:val="009905E0"/>
    <w:rsid w:val="009A3159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1BEF"/>
    <w:rsid w:val="00A82836"/>
    <w:rsid w:val="00A838A7"/>
    <w:rsid w:val="00A83B89"/>
    <w:rsid w:val="00A871C6"/>
    <w:rsid w:val="00A8754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A7C6A"/>
    <w:rsid w:val="00BB5208"/>
    <w:rsid w:val="00BB7C0B"/>
    <w:rsid w:val="00BD51FF"/>
    <w:rsid w:val="00BE073E"/>
    <w:rsid w:val="00BE0D38"/>
    <w:rsid w:val="00BE1514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8F5"/>
    <w:rsid w:val="00C64EAE"/>
    <w:rsid w:val="00C70295"/>
    <w:rsid w:val="00C74A1A"/>
    <w:rsid w:val="00C76E49"/>
    <w:rsid w:val="00C8137B"/>
    <w:rsid w:val="00C81849"/>
    <w:rsid w:val="00C84DC0"/>
    <w:rsid w:val="00C84F44"/>
    <w:rsid w:val="00C85CC4"/>
    <w:rsid w:val="00C8695F"/>
    <w:rsid w:val="00CC7E3D"/>
    <w:rsid w:val="00CD2712"/>
    <w:rsid w:val="00CF40A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904A7"/>
    <w:rsid w:val="00DC10D0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2B4C"/>
    <w:rsid w:val="00E039EC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E6181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A5E88E-5548-43C9-99DE-1CACD8A9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3</cp:revision>
  <cp:lastPrinted>2019-06-11T14:07:00Z</cp:lastPrinted>
  <dcterms:created xsi:type="dcterms:W3CDTF">2020-10-07T19:01:00Z</dcterms:created>
  <dcterms:modified xsi:type="dcterms:W3CDTF">2020-10-07T20:28:00Z</dcterms:modified>
</cp:coreProperties>
</file>