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6400DD4" w:rsidR="00615CAD" w:rsidRPr="00615CAD" w:rsidRDefault="001D2DE7" w:rsidP="00615CAD">
      <w:pPr>
        <w:pStyle w:val="Logo"/>
      </w:pPr>
      <w:r>
        <w:rPr>
          <w:noProof/>
        </w:rPr>
        <w:drawing>
          <wp:inline distT="0" distB="0" distL="0" distR="0" wp14:anchorId="225F5CA7" wp14:editId="594AC6AA">
            <wp:extent cx="2514600" cy="522605"/>
            <wp:effectExtent l="0" t="0" r="0" b="0"/>
            <wp:docPr id="1" name="Picture 1" descr="A close up of MSKTC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A8A81" w14:textId="2DEFEBB8" w:rsidR="00615CAD" w:rsidRPr="00B725C0" w:rsidRDefault="00B725C0" w:rsidP="001D2DE7">
      <w:pPr>
        <w:pStyle w:val="Heading1"/>
        <w:ind w:left="1440"/>
      </w:pPr>
      <w:r w:rsidRPr="00B725C0">
        <w:rPr>
          <w:sz w:val="16"/>
          <w:szCs w:val="16"/>
        </w:rPr>
        <w:br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339F196" w14:textId="77777777" w:rsidR="00980932" w:rsidRDefault="00980932" w:rsidP="00980932">
      <w:pPr>
        <w:rPr>
          <w:rFonts w:ascii="Arial" w:eastAsiaTheme="majorEastAsia" w:hAnsi="Arial" w:cstheme="minorHAnsi"/>
          <w:b/>
          <w:bCs/>
          <w:noProof/>
          <w:color w:val="CA602C"/>
          <w:sz w:val="28"/>
          <w:szCs w:val="32"/>
        </w:rPr>
      </w:pPr>
    </w:p>
    <w:p w14:paraId="29B908CE" w14:textId="671CE0B4" w:rsidR="006B4302" w:rsidRDefault="006B4302" w:rsidP="006B4302">
      <w:pPr>
        <w:pStyle w:val="Heading3"/>
        <w:spacing w:before="360"/>
        <w:rPr>
          <w:rFonts w:ascii="Arial" w:hAnsi="Arial"/>
          <w:color w:val="CA602C"/>
          <w:sz w:val="28"/>
          <w:szCs w:val="32"/>
        </w:rPr>
      </w:pPr>
      <w:bookmarkStart w:id="0" w:name="_Hlk10723337"/>
      <w:r w:rsidRPr="006B4302">
        <w:rPr>
          <w:rFonts w:ascii="Arial" w:hAnsi="Arial"/>
          <w:color w:val="CA602C"/>
          <w:sz w:val="28"/>
          <w:szCs w:val="32"/>
        </w:rPr>
        <w:t>Obesity and Overweight Problems</w:t>
      </w:r>
      <w:r>
        <w:rPr>
          <w:rFonts w:ascii="Arial" w:hAnsi="Arial"/>
          <w:color w:val="CA602C"/>
          <w:sz w:val="28"/>
          <w:szCs w:val="32"/>
        </w:rPr>
        <w:t xml:space="preserve"> </w:t>
      </w:r>
      <w:bookmarkEnd w:id="0"/>
      <w:r w:rsidRPr="006B4302">
        <w:rPr>
          <w:rFonts w:ascii="Arial" w:hAnsi="Arial"/>
          <w:color w:val="CA602C"/>
          <w:sz w:val="28"/>
          <w:szCs w:val="32"/>
        </w:rPr>
        <w:t>Among Individuals 1 to 25 Years</w:t>
      </w:r>
      <w:r>
        <w:rPr>
          <w:rFonts w:ascii="Arial" w:hAnsi="Arial"/>
          <w:color w:val="CA602C"/>
          <w:sz w:val="28"/>
          <w:szCs w:val="32"/>
        </w:rPr>
        <w:t xml:space="preserve"> </w:t>
      </w:r>
      <w:r w:rsidRPr="006B4302">
        <w:rPr>
          <w:rFonts w:ascii="Arial" w:hAnsi="Arial"/>
          <w:color w:val="CA602C"/>
          <w:sz w:val="28"/>
          <w:szCs w:val="32"/>
        </w:rPr>
        <w:t>Following Acute Rehabilitation for</w:t>
      </w:r>
      <w:r>
        <w:rPr>
          <w:rFonts w:ascii="Arial" w:hAnsi="Arial"/>
          <w:color w:val="CA602C"/>
          <w:sz w:val="28"/>
          <w:szCs w:val="32"/>
        </w:rPr>
        <w:t xml:space="preserve"> </w:t>
      </w:r>
      <w:r w:rsidRPr="006B4302">
        <w:rPr>
          <w:rFonts w:ascii="Arial" w:hAnsi="Arial"/>
          <w:color w:val="CA602C"/>
          <w:sz w:val="28"/>
          <w:szCs w:val="32"/>
        </w:rPr>
        <w:t>Traumatic Brain Injury: A NIDILRR</w:t>
      </w:r>
      <w:r>
        <w:rPr>
          <w:rFonts w:ascii="Arial" w:hAnsi="Arial"/>
          <w:color w:val="CA602C"/>
          <w:sz w:val="28"/>
          <w:szCs w:val="32"/>
        </w:rPr>
        <w:t xml:space="preserve"> </w:t>
      </w:r>
      <w:r w:rsidRPr="006B4302">
        <w:rPr>
          <w:rFonts w:ascii="Arial" w:hAnsi="Arial"/>
          <w:color w:val="CA602C"/>
          <w:sz w:val="28"/>
          <w:szCs w:val="32"/>
        </w:rPr>
        <w:t>Traumatic Brain Injury Model Systems</w:t>
      </w:r>
      <w:r>
        <w:rPr>
          <w:rFonts w:ascii="Arial" w:hAnsi="Arial"/>
          <w:color w:val="CA602C"/>
          <w:sz w:val="28"/>
          <w:szCs w:val="32"/>
        </w:rPr>
        <w:t xml:space="preserve"> </w:t>
      </w:r>
      <w:r w:rsidRPr="006B4302">
        <w:rPr>
          <w:rFonts w:ascii="Arial" w:hAnsi="Arial"/>
          <w:color w:val="CA602C"/>
          <w:sz w:val="28"/>
          <w:szCs w:val="32"/>
        </w:rPr>
        <w:t>Study</w:t>
      </w:r>
      <w:r w:rsidR="009323DC" w:rsidRPr="009323DC">
        <w:rPr>
          <w:rFonts w:ascii="Arial" w:hAnsi="Arial"/>
          <w:color w:val="CA602C"/>
          <w:sz w:val="28"/>
          <w:szCs w:val="32"/>
          <w:vertAlign w:val="superscript"/>
        </w:rPr>
        <w:t>1</w:t>
      </w:r>
    </w:p>
    <w:p w14:paraId="52E59DE8" w14:textId="0A563EEF" w:rsidR="00615CAD" w:rsidRDefault="00615CAD" w:rsidP="006B4302">
      <w:pPr>
        <w:pStyle w:val="Heading3"/>
        <w:spacing w:before="360"/>
        <w:ind w:left="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5149A74A" w14:textId="78E5B555" w:rsidR="006B4302" w:rsidRPr="006B4302" w:rsidRDefault="006305BB" w:rsidP="006B4302">
      <w:r>
        <w:t xml:space="preserve">This study uses the Traumatic Brain Injury Model Systems national database to </w:t>
      </w:r>
      <w:r w:rsidR="0076238E">
        <w:t xml:space="preserve">examine the prevalence of obesity in individuals 1 to 25 years following traumatic brain injury (TBI).  </w:t>
      </w:r>
      <w:r>
        <w:t xml:space="preserve"> </w:t>
      </w:r>
    </w:p>
    <w:p w14:paraId="1FD8C6C8" w14:textId="550ECAF5" w:rsidR="00D32E30" w:rsidRDefault="00D32E30" w:rsidP="00D32E30">
      <w:pPr>
        <w:pStyle w:val="Heading3"/>
        <w:ind w:left="0"/>
      </w:pPr>
      <w:r w:rsidRPr="00FA28FF">
        <w:t>What did the study find?</w:t>
      </w:r>
    </w:p>
    <w:p w14:paraId="1E909F04" w14:textId="2D179141" w:rsidR="0076238E" w:rsidRPr="0076238E" w:rsidRDefault="0076238E" w:rsidP="0076238E">
      <w:r>
        <w:t>The study found that rates of obesity and overweight problems increased overtime after TBI</w:t>
      </w:r>
      <w:r w:rsidR="002A1BE4">
        <w:t xml:space="preserve">, with 55% of those studied being overweight or obese 1-2 years from injury; and 67% 25 years post-injury. This is lower than the Centers for Disease Control and Prevention estimate for overweight/obesity in the US (70.7%). </w:t>
      </w:r>
      <w:r>
        <w:t xml:space="preserve"> </w:t>
      </w:r>
      <w:r w:rsidR="005438E9">
        <w:t xml:space="preserve">A </w:t>
      </w:r>
      <w:r w:rsidR="005438E9" w:rsidRPr="005438E9">
        <w:t xml:space="preserve">history of hypertension, heart failure, </w:t>
      </w:r>
      <w:r w:rsidR="005438E9">
        <w:t xml:space="preserve">and </w:t>
      </w:r>
      <w:r w:rsidR="005438E9" w:rsidRPr="005438E9">
        <w:t>diabetes</w:t>
      </w:r>
      <w:r w:rsidR="005438E9">
        <w:t xml:space="preserve"> was also found to be associated with obesity among individuals with TBI. Younger (18-19 years) and older (80 years or more) individuals, individuals in a vegetative state, and individuals in excellent health were less likely to be obese. </w:t>
      </w:r>
      <w:r w:rsidR="002A1BE4">
        <w:t>Additionally, fewer survivors of TBI with obesity report a high level of satisfaction with life.</w:t>
      </w:r>
    </w:p>
    <w:p w14:paraId="4D088AA8" w14:textId="6D1F6AC3" w:rsidR="00615CAD" w:rsidRDefault="00615CAD" w:rsidP="00B74623">
      <w:pPr>
        <w:pStyle w:val="Heading3"/>
        <w:ind w:left="0"/>
      </w:pPr>
      <w:r w:rsidRPr="000B1BE7">
        <w:t>Who participated in the</w:t>
      </w:r>
      <w:r w:rsidR="00B725C0" w:rsidRPr="000B1BE7">
        <w:t xml:space="preserve"> study?</w:t>
      </w:r>
    </w:p>
    <w:p w14:paraId="688D8508" w14:textId="7243B51A" w:rsidR="005438E9" w:rsidRPr="005438E9" w:rsidRDefault="0081606A" w:rsidP="005438E9">
      <w:r>
        <w:t>Participants</w:t>
      </w:r>
      <w:r w:rsidR="001B4106">
        <w:t xml:space="preserve"> </w:t>
      </w:r>
      <w:r w:rsidR="005438E9">
        <w:t xml:space="preserve">(N = 7287) </w:t>
      </w:r>
      <w:r>
        <w:t xml:space="preserve">were at least 16 years of age with moderate to severe TBI. In addition, all participants received inpatient rehabilitation at a </w:t>
      </w:r>
      <w:r w:rsidRPr="0081606A">
        <w:t>Traumatic Brain Injury Model Systems</w:t>
      </w:r>
      <w:r>
        <w:t xml:space="preserve"> Center. </w:t>
      </w:r>
    </w:p>
    <w:p w14:paraId="5A791BB4" w14:textId="2A87A946" w:rsidR="00615CAD" w:rsidRDefault="00615CAD" w:rsidP="00B74623">
      <w:pPr>
        <w:pStyle w:val="Heading3"/>
        <w:ind w:left="0"/>
      </w:pPr>
      <w:r w:rsidRPr="00FA28FF">
        <w:t>How was the study conducted?</w:t>
      </w:r>
    </w:p>
    <w:p w14:paraId="31759B9A" w14:textId="09E9AA0E" w:rsidR="0081606A" w:rsidRPr="0081606A" w:rsidRDefault="0081606A" w:rsidP="0081606A">
      <w:r>
        <w:t>Body mass index, demographic characteristics,</w:t>
      </w:r>
      <w:r w:rsidR="00347203">
        <w:t xml:space="preserve"> </w:t>
      </w:r>
      <w:r w:rsidR="00B15557">
        <w:t xml:space="preserve">presence of chronic medical illness, </w:t>
      </w:r>
      <w:r w:rsidR="00347203">
        <w:t>f</w:t>
      </w:r>
      <w:r>
        <w:t>unctional</w:t>
      </w:r>
      <w:r w:rsidR="00347203">
        <w:t xml:space="preserve"> independence</w:t>
      </w:r>
      <w:r>
        <w:t>, health, satisfaction with life, and global outcomes</w:t>
      </w:r>
      <w:r w:rsidR="00347203">
        <w:t xml:space="preserve"> were analyzed and measured.  </w:t>
      </w:r>
    </w:p>
    <w:p w14:paraId="3AE4439B" w14:textId="77777777" w:rsidR="00D32E30" w:rsidRPr="003574A9" w:rsidRDefault="002A0C5C" w:rsidP="00D32E30">
      <w:pPr>
        <w:pStyle w:val="Heading3"/>
        <w:ind w:left="0"/>
      </w:pPr>
      <w:hyperlink r:id="rId11" w:anchor="Note" w:tooltip="Describe who could use the results and how. Could be patient, doctor, administration, centers. Should make sense given findings and study design. Do not overreach." w:history="1">
        <w:r w:rsidR="00D32E30" w:rsidRPr="003574A9">
          <w:t>How can people use the results?</w:t>
        </w:r>
      </w:hyperlink>
    </w:p>
    <w:p w14:paraId="7946720F" w14:textId="10B1E95E" w:rsidR="0028556A" w:rsidRDefault="00171196" w:rsidP="00F4413B">
      <w:r>
        <w:t>Clinicians, people with TBI, and caretakers alike can use the results of this study to become more informed o</w:t>
      </w:r>
      <w:r w:rsidR="004F785F">
        <w:t>n o</w:t>
      </w:r>
      <w:r w:rsidR="004F785F" w:rsidRPr="004F785F">
        <w:t xml:space="preserve">besity and </w:t>
      </w:r>
      <w:r w:rsidR="004F785F">
        <w:t>o</w:t>
      </w:r>
      <w:r w:rsidR="004F785F" w:rsidRPr="004F785F">
        <w:t xml:space="preserve">verweight </w:t>
      </w:r>
      <w:r w:rsidR="004F785F">
        <w:t>p</w:t>
      </w:r>
      <w:r w:rsidR="004F785F" w:rsidRPr="004F785F">
        <w:t>roblems</w:t>
      </w:r>
      <w:r w:rsidR="004F785F">
        <w:t xml:space="preserve"> among individuals with TBI. </w:t>
      </w:r>
    </w:p>
    <w:p w14:paraId="69085433" w14:textId="2C5FC686" w:rsidR="004F785F" w:rsidRDefault="004F785F" w:rsidP="00F4413B"/>
    <w:p w14:paraId="714FD852" w14:textId="1D552944" w:rsidR="00876ED8" w:rsidRDefault="009323DC" w:rsidP="00F4413B">
      <w:r w:rsidRPr="009323DC">
        <w:rPr>
          <w:vertAlign w:val="superscript"/>
        </w:rPr>
        <w:t>1</w:t>
      </w:r>
      <w:r w:rsidR="00876ED8" w:rsidRPr="00876ED8">
        <w:t>Dreer, L. E., Ketchum, J. M., Novack, T. A., Bogner, J., Felix, E. R., Corrigan, J. D., . . . Hammond, F. M. (2018). Obesity and Overweight Problems Among Individuals 1 to 25 Years Following Acute Rehabilitation for Traumatic Brain Injury. Journal of Head Trauma Rehabilitation, 33(4), 246-256. doi:10.1097/htr.0000000000000408</w:t>
      </w:r>
    </w:p>
    <w:p w14:paraId="7DC7CD14" w14:textId="7AF367EE" w:rsidR="00F76745" w:rsidRPr="00D53A49" w:rsidRDefault="00D53A49" w:rsidP="0055447C">
      <w:pPr>
        <w:rPr>
          <w:rFonts w:ascii="Arial Narrow" w:hAnsi="Arial Narrow"/>
          <w:sz w:val="18"/>
          <w:szCs w:val="18"/>
        </w:rPr>
      </w:pPr>
      <w:r w:rsidRPr="00D53A49">
        <w:rPr>
          <w:rFonts w:ascii="Arial Narrow" w:hAnsi="Arial Narrow"/>
          <w:color w:val="000000" w:themeColor="text1"/>
          <w:sz w:val="18"/>
          <w:szCs w:val="18"/>
        </w:rPr>
        <w:t>The contents of this quick review were developed under a grant from the National Institute on Disability, Independent Living, and Rehabilitation Research (NIDILRR grant number 90</w:t>
      </w:r>
      <w:r w:rsidRPr="00D53A49">
        <w:rPr>
          <w:rFonts w:ascii="Arial Narrow" w:hAnsi="Arial Narrow" w:cs="Helvetica"/>
          <w:sz w:val="18"/>
          <w:szCs w:val="18"/>
        </w:rPr>
        <w:t>DP0082</w:t>
      </w:r>
      <w:r w:rsidRPr="00D53A49">
        <w:rPr>
          <w:rFonts w:ascii="Arial Narrow" w:hAnsi="Arial Narrow"/>
          <w:color w:val="000000" w:themeColor="text1"/>
          <w:sz w:val="18"/>
          <w:szCs w:val="18"/>
        </w:rPr>
        <w:t xml:space="preserve">). NIDILRR is a Center within the Administration for Community Living (ACL), Department of Health and Human Services </w:t>
      </w:r>
      <w:r w:rsidRPr="00D53A49">
        <w:rPr>
          <w:rFonts w:ascii="Arial Narrow" w:hAnsi="Arial Narrow"/>
          <w:color w:val="000000" w:themeColor="text1"/>
          <w:sz w:val="18"/>
          <w:szCs w:val="18"/>
        </w:rPr>
        <w:lastRenderedPageBreak/>
        <w:t>(HHS). The contents of this quick review do not necessarily represent the policy of NIDILRR, ACL, HHS, and you should not assume endorsement by the Federal Government.</w:t>
      </w:r>
    </w:p>
    <w:sectPr w:rsidR="00F76745" w:rsidRPr="00D53A49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D447E" w14:textId="77777777" w:rsidR="002A0C5C" w:rsidRDefault="002A0C5C">
      <w:pPr>
        <w:spacing w:before="0" w:after="0" w:line="240" w:lineRule="auto"/>
      </w:pPr>
      <w:r>
        <w:separator/>
      </w:r>
    </w:p>
  </w:endnote>
  <w:endnote w:type="continuationSeparator" w:id="0">
    <w:p w14:paraId="39E4ACBE" w14:textId="77777777" w:rsidR="002A0C5C" w:rsidRDefault="002A0C5C">
      <w:pPr>
        <w:spacing w:before="0" w:after="0" w:line="240" w:lineRule="auto"/>
      </w:pPr>
      <w:r>
        <w:continuationSeparator/>
      </w:r>
    </w:p>
  </w:endnote>
  <w:endnote w:type="continuationNotice" w:id="1">
    <w:p w14:paraId="3603900C" w14:textId="77777777" w:rsidR="002A0C5C" w:rsidRDefault="002A0C5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127B3455" w:rsidR="00953C7D" w:rsidRPr="004C59F0" w:rsidRDefault="002A0C5C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953C7D" w:rsidRPr="004C59F0">
        <w:rPr>
          <w:rStyle w:val="Hyperlink"/>
          <w:color w:val="FFFFFF" w:themeColor="background1"/>
          <w:u w:val="none"/>
        </w:rPr>
        <w:t>https://msktc.org/tbi</w:t>
      </w:r>
    </w:hyperlink>
    <w:r w:rsidR="00953C7D" w:rsidRPr="004C59F0">
      <w:rPr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EF956" w14:textId="77777777" w:rsidR="002A0C5C" w:rsidRPr="006C7FDE" w:rsidRDefault="002A0C5C" w:rsidP="006C7FDE">
      <w:pPr>
        <w:pStyle w:val="Footer"/>
      </w:pPr>
    </w:p>
  </w:footnote>
  <w:footnote w:type="continuationSeparator" w:id="0">
    <w:p w14:paraId="4BD6EC6C" w14:textId="77777777" w:rsidR="002A0C5C" w:rsidRPr="006C7FDE" w:rsidRDefault="002A0C5C" w:rsidP="006C7FDE">
      <w:pPr>
        <w:pStyle w:val="Footer"/>
      </w:pPr>
    </w:p>
  </w:footnote>
  <w:footnote w:type="continuationNotice" w:id="1">
    <w:p w14:paraId="113AAC93" w14:textId="77777777" w:rsidR="002A0C5C" w:rsidRDefault="002A0C5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53C7D" w:rsidRPr="00282533" w:rsidRDefault="00953C7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E29F3"/>
    <w:multiLevelType w:val="hybridMultilevel"/>
    <w:tmpl w:val="0EEE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20BB6"/>
    <w:rsid w:val="00040C12"/>
    <w:rsid w:val="00040F2A"/>
    <w:rsid w:val="0004123D"/>
    <w:rsid w:val="00057592"/>
    <w:rsid w:val="00072F87"/>
    <w:rsid w:val="0007334C"/>
    <w:rsid w:val="0007540E"/>
    <w:rsid w:val="00080047"/>
    <w:rsid w:val="0009322F"/>
    <w:rsid w:val="000A7173"/>
    <w:rsid w:val="000B1BE7"/>
    <w:rsid w:val="000B5474"/>
    <w:rsid w:val="000C63F6"/>
    <w:rsid w:val="000D326F"/>
    <w:rsid w:val="00101253"/>
    <w:rsid w:val="00105E82"/>
    <w:rsid w:val="00113EDB"/>
    <w:rsid w:val="00117A90"/>
    <w:rsid w:val="001268A0"/>
    <w:rsid w:val="001273C6"/>
    <w:rsid w:val="00127E75"/>
    <w:rsid w:val="0013233C"/>
    <w:rsid w:val="001337EF"/>
    <w:rsid w:val="00147988"/>
    <w:rsid w:val="00154DC8"/>
    <w:rsid w:val="00157858"/>
    <w:rsid w:val="00161014"/>
    <w:rsid w:val="00171196"/>
    <w:rsid w:val="001725AA"/>
    <w:rsid w:val="001734DE"/>
    <w:rsid w:val="00183D6A"/>
    <w:rsid w:val="0018455A"/>
    <w:rsid w:val="001A5331"/>
    <w:rsid w:val="001B4106"/>
    <w:rsid w:val="001B4D9E"/>
    <w:rsid w:val="001D2DE7"/>
    <w:rsid w:val="001E236C"/>
    <w:rsid w:val="001F5587"/>
    <w:rsid w:val="001F6F7A"/>
    <w:rsid w:val="001F7E52"/>
    <w:rsid w:val="00205A79"/>
    <w:rsid w:val="0022148E"/>
    <w:rsid w:val="002354F0"/>
    <w:rsid w:val="00254C38"/>
    <w:rsid w:val="00264ECC"/>
    <w:rsid w:val="00265393"/>
    <w:rsid w:val="00265B37"/>
    <w:rsid w:val="00265ED2"/>
    <w:rsid w:val="00270784"/>
    <w:rsid w:val="002730BC"/>
    <w:rsid w:val="0028556A"/>
    <w:rsid w:val="002A0C5C"/>
    <w:rsid w:val="002A1BE4"/>
    <w:rsid w:val="002A5E48"/>
    <w:rsid w:val="002A7453"/>
    <w:rsid w:val="002B097A"/>
    <w:rsid w:val="002D38CA"/>
    <w:rsid w:val="002D4BE0"/>
    <w:rsid w:val="002D67D3"/>
    <w:rsid w:val="002E2116"/>
    <w:rsid w:val="002E3CBE"/>
    <w:rsid w:val="002E5577"/>
    <w:rsid w:val="00306639"/>
    <w:rsid w:val="00317B84"/>
    <w:rsid w:val="003215FA"/>
    <w:rsid w:val="00321A6B"/>
    <w:rsid w:val="00322FCA"/>
    <w:rsid w:val="00333107"/>
    <w:rsid w:val="00344C18"/>
    <w:rsid w:val="00346CD8"/>
    <w:rsid w:val="00347203"/>
    <w:rsid w:val="00360737"/>
    <w:rsid w:val="00371A95"/>
    <w:rsid w:val="00380DCF"/>
    <w:rsid w:val="00380F16"/>
    <w:rsid w:val="003812EA"/>
    <w:rsid w:val="00381598"/>
    <w:rsid w:val="00387B3F"/>
    <w:rsid w:val="003D451D"/>
    <w:rsid w:val="003F4CEF"/>
    <w:rsid w:val="00420213"/>
    <w:rsid w:val="00423930"/>
    <w:rsid w:val="0043355B"/>
    <w:rsid w:val="00433944"/>
    <w:rsid w:val="00435E44"/>
    <w:rsid w:val="00436B55"/>
    <w:rsid w:val="00445D1A"/>
    <w:rsid w:val="004663F7"/>
    <w:rsid w:val="004709C0"/>
    <w:rsid w:val="00481C3B"/>
    <w:rsid w:val="0048389B"/>
    <w:rsid w:val="00486F57"/>
    <w:rsid w:val="00490329"/>
    <w:rsid w:val="004B3B8B"/>
    <w:rsid w:val="004B4346"/>
    <w:rsid w:val="004B53C9"/>
    <w:rsid w:val="004B71D3"/>
    <w:rsid w:val="004C59F0"/>
    <w:rsid w:val="004C6036"/>
    <w:rsid w:val="004F76FF"/>
    <w:rsid w:val="004F7772"/>
    <w:rsid w:val="004F785F"/>
    <w:rsid w:val="00507EE6"/>
    <w:rsid w:val="00522108"/>
    <w:rsid w:val="00525A6A"/>
    <w:rsid w:val="00542C59"/>
    <w:rsid w:val="005438E9"/>
    <w:rsid w:val="005439A8"/>
    <w:rsid w:val="0055447C"/>
    <w:rsid w:val="00557B58"/>
    <w:rsid w:val="00566ABE"/>
    <w:rsid w:val="0056740C"/>
    <w:rsid w:val="00572609"/>
    <w:rsid w:val="005843D5"/>
    <w:rsid w:val="005C1B58"/>
    <w:rsid w:val="005C3438"/>
    <w:rsid w:val="005D0F31"/>
    <w:rsid w:val="005D2332"/>
    <w:rsid w:val="005D67DD"/>
    <w:rsid w:val="005E4978"/>
    <w:rsid w:val="005E4EE1"/>
    <w:rsid w:val="005F5B10"/>
    <w:rsid w:val="006020D8"/>
    <w:rsid w:val="00611B8D"/>
    <w:rsid w:val="00615CAD"/>
    <w:rsid w:val="006305BB"/>
    <w:rsid w:val="00631A0A"/>
    <w:rsid w:val="0064519B"/>
    <w:rsid w:val="0066558D"/>
    <w:rsid w:val="0067378B"/>
    <w:rsid w:val="00673FEA"/>
    <w:rsid w:val="00675B32"/>
    <w:rsid w:val="00686E7C"/>
    <w:rsid w:val="006A4D2C"/>
    <w:rsid w:val="006B4302"/>
    <w:rsid w:val="006C7FDE"/>
    <w:rsid w:val="006E1CAF"/>
    <w:rsid w:val="006E39CD"/>
    <w:rsid w:val="006E6158"/>
    <w:rsid w:val="006F74CA"/>
    <w:rsid w:val="006F7D09"/>
    <w:rsid w:val="007034C5"/>
    <w:rsid w:val="00711468"/>
    <w:rsid w:val="007126B2"/>
    <w:rsid w:val="00714571"/>
    <w:rsid w:val="00715825"/>
    <w:rsid w:val="00726246"/>
    <w:rsid w:val="00736FCA"/>
    <w:rsid w:val="0074314A"/>
    <w:rsid w:val="007462F3"/>
    <w:rsid w:val="0076238E"/>
    <w:rsid w:val="00777305"/>
    <w:rsid w:val="00785CE7"/>
    <w:rsid w:val="00793240"/>
    <w:rsid w:val="007969EB"/>
    <w:rsid w:val="007B17CB"/>
    <w:rsid w:val="007B64E2"/>
    <w:rsid w:val="007C71D6"/>
    <w:rsid w:val="007E1081"/>
    <w:rsid w:val="007E6A41"/>
    <w:rsid w:val="008034F6"/>
    <w:rsid w:val="0081606A"/>
    <w:rsid w:val="00816351"/>
    <w:rsid w:val="00835888"/>
    <w:rsid w:val="0084779C"/>
    <w:rsid w:val="00847897"/>
    <w:rsid w:val="008567C5"/>
    <w:rsid w:val="00857D18"/>
    <w:rsid w:val="00860B09"/>
    <w:rsid w:val="00861210"/>
    <w:rsid w:val="00862E17"/>
    <w:rsid w:val="00864AFC"/>
    <w:rsid w:val="00876ED8"/>
    <w:rsid w:val="008D6A74"/>
    <w:rsid w:val="008E1871"/>
    <w:rsid w:val="008E4513"/>
    <w:rsid w:val="008E7EFD"/>
    <w:rsid w:val="008F1C67"/>
    <w:rsid w:val="008F230B"/>
    <w:rsid w:val="008F52C9"/>
    <w:rsid w:val="00914608"/>
    <w:rsid w:val="009154AD"/>
    <w:rsid w:val="009161F5"/>
    <w:rsid w:val="009216E0"/>
    <w:rsid w:val="00925EF3"/>
    <w:rsid w:val="009270E2"/>
    <w:rsid w:val="00931326"/>
    <w:rsid w:val="009323DC"/>
    <w:rsid w:val="0093330A"/>
    <w:rsid w:val="0093353B"/>
    <w:rsid w:val="0095330D"/>
    <w:rsid w:val="00953C7D"/>
    <w:rsid w:val="0097551C"/>
    <w:rsid w:val="00980932"/>
    <w:rsid w:val="0098165F"/>
    <w:rsid w:val="0098277D"/>
    <w:rsid w:val="00984090"/>
    <w:rsid w:val="00991171"/>
    <w:rsid w:val="009D05E2"/>
    <w:rsid w:val="009D6CB7"/>
    <w:rsid w:val="009F7207"/>
    <w:rsid w:val="00A023B2"/>
    <w:rsid w:val="00A138CB"/>
    <w:rsid w:val="00A34025"/>
    <w:rsid w:val="00A3453C"/>
    <w:rsid w:val="00A505BB"/>
    <w:rsid w:val="00A5074D"/>
    <w:rsid w:val="00A570FB"/>
    <w:rsid w:val="00A73FA1"/>
    <w:rsid w:val="00A76007"/>
    <w:rsid w:val="00A83B89"/>
    <w:rsid w:val="00AA1093"/>
    <w:rsid w:val="00AB3647"/>
    <w:rsid w:val="00AB56C4"/>
    <w:rsid w:val="00AC0EF0"/>
    <w:rsid w:val="00AC51DB"/>
    <w:rsid w:val="00AD689F"/>
    <w:rsid w:val="00AE5027"/>
    <w:rsid w:val="00AF2B1A"/>
    <w:rsid w:val="00B041A0"/>
    <w:rsid w:val="00B05C04"/>
    <w:rsid w:val="00B15557"/>
    <w:rsid w:val="00B15D01"/>
    <w:rsid w:val="00B27DCB"/>
    <w:rsid w:val="00B329BC"/>
    <w:rsid w:val="00B52FFC"/>
    <w:rsid w:val="00B5367C"/>
    <w:rsid w:val="00B5526D"/>
    <w:rsid w:val="00B70955"/>
    <w:rsid w:val="00B711C2"/>
    <w:rsid w:val="00B725C0"/>
    <w:rsid w:val="00B74623"/>
    <w:rsid w:val="00B7633C"/>
    <w:rsid w:val="00B80033"/>
    <w:rsid w:val="00B803C6"/>
    <w:rsid w:val="00B90539"/>
    <w:rsid w:val="00B93F0D"/>
    <w:rsid w:val="00B9788A"/>
    <w:rsid w:val="00BA191F"/>
    <w:rsid w:val="00BA668B"/>
    <w:rsid w:val="00BC6137"/>
    <w:rsid w:val="00BD1B3D"/>
    <w:rsid w:val="00BD35B2"/>
    <w:rsid w:val="00BD51FF"/>
    <w:rsid w:val="00C0512E"/>
    <w:rsid w:val="00C16F7D"/>
    <w:rsid w:val="00C206D7"/>
    <w:rsid w:val="00C22DFC"/>
    <w:rsid w:val="00C235C4"/>
    <w:rsid w:val="00C30ED8"/>
    <w:rsid w:val="00C467E9"/>
    <w:rsid w:val="00C52204"/>
    <w:rsid w:val="00C52BD0"/>
    <w:rsid w:val="00C53CD9"/>
    <w:rsid w:val="00C60D9C"/>
    <w:rsid w:val="00C64EAE"/>
    <w:rsid w:val="00C81849"/>
    <w:rsid w:val="00C84DC0"/>
    <w:rsid w:val="00C86850"/>
    <w:rsid w:val="00C8695F"/>
    <w:rsid w:val="00C93CC2"/>
    <w:rsid w:val="00CA5E1C"/>
    <w:rsid w:val="00CB236F"/>
    <w:rsid w:val="00CB6944"/>
    <w:rsid w:val="00CD2712"/>
    <w:rsid w:val="00CD45CB"/>
    <w:rsid w:val="00CE5C15"/>
    <w:rsid w:val="00CE79D5"/>
    <w:rsid w:val="00CF0DCD"/>
    <w:rsid w:val="00CF6C84"/>
    <w:rsid w:val="00CF74D8"/>
    <w:rsid w:val="00D0015E"/>
    <w:rsid w:val="00D0785A"/>
    <w:rsid w:val="00D1699C"/>
    <w:rsid w:val="00D202B9"/>
    <w:rsid w:val="00D20A48"/>
    <w:rsid w:val="00D216F1"/>
    <w:rsid w:val="00D22F4B"/>
    <w:rsid w:val="00D32E30"/>
    <w:rsid w:val="00D41DF4"/>
    <w:rsid w:val="00D45567"/>
    <w:rsid w:val="00D45581"/>
    <w:rsid w:val="00D455C5"/>
    <w:rsid w:val="00D53A49"/>
    <w:rsid w:val="00D559E9"/>
    <w:rsid w:val="00D61860"/>
    <w:rsid w:val="00D81619"/>
    <w:rsid w:val="00D84037"/>
    <w:rsid w:val="00D934F9"/>
    <w:rsid w:val="00DC14D1"/>
    <w:rsid w:val="00DC58B2"/>
    <w:rsid w:val="00DC7E14"/>
    <w:rsid w:val="00DD5060"/>
    <w:rsid w:val="00DD72EC"/>
    <w:rsid w:val="00DE424D"/>
    <w:rsid w:val="00DF28A0"/>
    <w:rsid w:val="00E06805"/>
    <w:rsid w:val="00E25C7C"/>
    <w:rsid w:val="00E31C28"/>
    <w:rsid w:val="00E45CFB"/>
    <w:rsid w:val="00E4784E"/>
    <w:rsid w:val="00E571F9"/>
    <w:rsid w:val="00E7456F"/>
    <w:rsid w:val="00E83AA6"/>
    <w:rsid w:val="00E87176"/>
    <w:rsid w:val="00E87314"/>
    <w:rsid w:val="00E9057C"/>
    <w:rsid w:val="00E95262"/>
    <w:rsid w:val="00EA2AAD"/>
    <w:rsid w:val="00EC0B9F"/>
    <w:rsid w:val="00EF4837"/>
    <w:rsid w:val="00EF53AC"/>
    <w:rsid w:val="00F04BE5"/>
    <w:rsid w:val="00F103AB"/>
    <w:rsid w:val="00F1053F"/>
    <w:rsid w:val="00F10BC8"/>
    <w:rsid w:val="00F15167"/>
    <w:rsid w:val="00F17CEE"/>
    <w:rsid w:val="00F23D48"/>
    <w:rsid w:val="00F25A14"/>
    <w:rsid w:val="00F4413B"/>
    <w:rsid w:val="00F57594"/>
    <w:rsid w:val="00F643BA"/>
    <w:rsid w:val="00F76745"/>
    <w:rsid w:val="00F831BD"/>
    <w:rsid w:val="00F95C61"/>
    <w:rsid w:val="00FA28FF"/>
    <w:rsid w:val="00FC7D0A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A5AAA007-42DA-41F6-894D-A13C345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styleId="ListParagraph">
    <w:name w:val="List Paragraph"/>
    <w:basedOn w:val="Normal"/>
    <w:uiPriority w:val="1"/>
    <w:qFormat/>
    <w:rsid w:val="00B7462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rttitle">
    <w:name w:val="art_title"/>
    <w:basedOn w:val="DefaultParagraphFont"/>
    <w:rsid w:val="00862E17"/>
  </w:style>
  <w:style w:type="character" w:customStyle="1" w:styleId="serialtitle">
    <w:name w:val="serial_title"/>
    <w:basedOn w:val="DefaultParagraphFont"/>
    <w:rsid w:val="00862E17"/>
  </w:style>
  <w:style w:type="character" w:customStyle="1" w:styleId="doilink">
    <w:name w:val="doi_link"/>
    <w:basedOn w:val="DefaultParagraphFont"/>
    <w:rsid w:val="00862E17"/>
  </w:style>
  <w:style w:type="character" w:styleId="FollowedHyperlink">
    <w:name w:val="FollowedHyperlink"/>
    <w:basedOn w:val="DefaultParagraphFont"/>
    <w:uiPriority w:val="99"/>
    <w:semiHidden/>
    <w:unhideWhenUsed/>
    <w:rsid w:val="00F7674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7D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7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cai\AppData\Local\Microsoft\Windows\Temporary%20Internet%20Files\Content.Outlook\4WHR71C4\Bogner_CER-1403-13476_DFRR_Professional%20and%20Public%20Abstract_SME%20Review_102918%20ccai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t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3B1D803-72D9-445C-A9E8-DE0B36EB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2</cp:revision>
  <cp:lastPrinted>2014-09-23T15:34:00Z</cp:lastPrinted>
  <dcterms:created xsi:type="dcterms:W3CDTF">2020-05-30T15:55:00Z</dcterms:created>
  <dcterms:modified xsi:type="dcterms:W3CDTF">2020-05-30T15:55:00Z</dcterms:modified>
</cp:coreProperties>
</file>