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093C3042" w14:textId="4E0C9D17" w:rsidR="00983B45" w:rsidRPr="00983B45" w:rsidRDefault="00983B45" w:rsidP="00983B45">
      <w:pPr>
        <w:pStyle w:val="Heading3"/>
        <w:spacing w:before="360"/>
        <w:rPr>
          <w:rFonts w:ascii="Arial" w:hAnsi="Arial"/>
          <w:color w:val="CA602C"/>
          <w:sz w:val="28"/>
          <w:szCs w:val="32"/>
        </w:rPr>
      </w:pPr>
      <w:r w:rsidRPr="00983B45">
        <w:rPr>
          <w:rFonts w:ascii="Arial" w:hAnsi="Arial"/>
          <w:color w:val="CA602C"/>
          <w:sz w:val="28"/>
          <w:szCs w:val="32"/>
        </w:rPr>
        <w:t>Amantadine Did Not Positively Impact Cognition</w:t>
      </w:r>
      <w:r>
        <w:rPr>
          <w:rFonts w:ascii="Arial" w:hAnsi="Arial"/>
          <w:color w:val="CA602C"/>
          <w:sz w:val="28"/>
          <w:szCs w:val="32"/>
        </w:rPr>
        <w:t xml:space="preserve"> </w:t>
      </w:r>
      <w:r w:rsidRPr="00983B45">
        <w:rPr>
          <w:rFonts w:ascii="Arial" w:hAnsi="Arial"/>
          <w:color w:val="CA602C"/>
          <w:sz w:val="28"/>
          <w:szCs w:val="32"/>
        </w:rPr>
        <w:t>in Chronic Traumatic Brain Injury:</w:t>
      </w:r>
      <w:r>
        <w:rPr>
          <w:rFonts w:ascii="Arial" w:hAnsi="Arial"/>
          <w:color w:val="CA602C"/>
          <w:sz w:val="28"/>
          <w:szCs w:val="32"/>
        </w:rPr>
        <w:t xml:space="preserve"> </w:t>
      </w:r>
      <w:r w:rsidRPr="00983B45">
        <w:rPr>
          <w:rFonts w:ascii="Arial" w:hAnsi="Arial"/>
          <w:color w:val="CA602C"/>
          <w:sz w:val="28"/>
          <w:szCs w:val="32"/>
        </w:rPr>
        <w:t>A Multi-Site, Randomized, Controlled Trial</w:t>
      </w:r>
    </w:p>
    <w:p w14:paraId="52E59DE8" w14:textId="54F35172" w:rsidR="00615CAD" w:rsidRDefault="00615CAD" w:rsidP="00CE79D5">
      <w:pPr>
        <w:pStyle w:val="Heading3"/>
        <w:spacing w:before="360"/>
        <w:ind w:left="0"/>
      </w:pPr>
      <w:r w:rsidRPr="00FA28FF">
        <w:t>What is</w:t>
      </w:r>
      <w:r w:rsidRPr="00615CAD">
        <w:t xml:space="preserve"> th</w:t>
      </w:r>
      <w:r w:rsidR="00B725C0">
        <w:t>e study about?</w:t>
      </w:r>
    </w:p>
    <w:p w14:paraId="04CB4B71" w14:textId="16F2C34D" w:rsidR="00983B45" w:rsidRPr="00983B45" w:rsidRDefault="00983B45" w:rsidP="00983B45">
      <w:r>
        <w:t xml:space="preserve">Though there is little evidence to support </w:t>
      </w:r>
      <w:hyperlink r:id="rId11" w:history="1">
        <w:r w:rsidRPr="002B125A">
          <w:rPr>
            <w:rStyle w:val="Hyperlink"/>
          </w:rPr>
          <w:t>amantadine</w:t>
        </w:r>
      </w:hyperlink>
      <w:r>
        <w:t xml:space="preserve">’s effectiveness to improve cognitive function after traumatic brain injury (TBI), clinicians still commonly use it for this purpose. This study aimed to </w:t>
      </w:r>
      <w:r w:rsidR="003C37E6">
        <w:t>examine</w:t>
      </w:r>
      <w:r>
        <w:t xml:space="preserve"> the effects of amantadine</w:t>
      </w:r>
      <w:r w:rsidR="00DC3B80">
        <w:t xml:space="preserve"> on </w:t>
      </w:r>
      <w:r w:rsidR="00DC3B80" w:rsidRPr="00725580">
        <w:t>memory tasks, attention and general thinking</w:t>
      </w:r>
      <w:r w:rsidRPr="00725580">
        <w:t xml:space="preserve"> </w:t>
      </w:r>
      <w:r w:rsidR="00DC3B80">
        <w:rPr>
          <w:color w:val="000000" w:themeColor="text1"/>
        </w:rPr>
        <w:t>am</w:t>
      </w:r>
      <w:r>
        <w:t xml:space="preserve">ong individuals with TBI. </w:t>
      </w:r>
    </w:p>
    <w:p w14:paraId="1FD8C6C8" w14:textId="2C7A1832" w:rsidR="00D32E30" w:rsidRDefault="00D32E30" w:rsidP="00D32E30">
      <w:pPr>
        <w:pStyle w:val="Heading3"/>
        <w:ind w:left="0"/>
      </w:pPr>
      <w:r w:rsidRPr="00FA28FF">
        <w:t>What did the study find?</w:t>
      </w:r>
    </w:p>
    <w:p w14:paraId="62FF01FD" w14:textId="219E1278" w:rsidR="00983B45" w:rsidRPr="00983B45" w:rsidRDefault="003C37E6" w:rsidP="000846D7">
      <w:r>
        <w:t>The use of a</w:t>
      </w:r>
      <w:r w:rsidR="00907CE4">
        <w:t>mantadine</w:t>
      </w:r>
      <w:r>
        <w:t xml:space="preserve"> to improve cognitive function in people with TBI was not supported by this study’s findings. In fact, the study found that after 28 days of use, </w:t>
      </w:r>
      <w:r w:rsidR="00EC1EF8">
        <w:t xml:space="preserve">people receiving placebo performed better on the memory and cognitive tasks than those receiving amantadine. This difference was not seen at 60 days, the end of the trial.  </w:t>
      </w:r>
    </w:p>
    <w:p w14:paraId="4D088AA8" w14:textId="7C954250" w:rsidR="00615CAD" w:rsidRDefault="00615CAD" w:rsidP="00B74623">
      <w:pPr>
        <w:pStyle w:val="Heading3"/>
        <w:ind w:left="0"/>
      </w:pPr>
      <w:r w:rsidRPr="000B1BE7">
        <w:t>Who participated in the</w:t>
      </w:r>
      <w:r w:rsidR="00B725C0" w:rsidRPr="000B1BE7">
        <w:t xml:space="preserve"> study?</w:t>
      </w:r>
    </w:p>
    <w:p w14:paraId="051DF924" w14:textId="47381276" w:rsidR="00D262EA" w:rsidRPr="00D262EA" w:rsidRDefault="00D262EA" w:rsidP="00D262EA">
      <w:r>
        <w:t xml:space="preserve">This study included 119 individuals with significant cognitive impairments resulting from TBI. Participants had to be 16-75 years of age with a sustained nonpenetrating TBI that occurred at least 6 months prior to registration.  </w:t>
      </w:r>
    </w:p>
    <w:p w14:paraId="5A791BB4" w14:textId="4F001F4E" w:rsidR="00615CAD" w:rsidRDefault="00615CAD" w:rsidP="00B74623">
      <w:pPr>
        <w:pStyle w:val="Heading3"/>
        <w:ind w:left="0"/>
      </w:pPr>
      <w:r w:rsidRPr="00FA28FF">
        <w:t>How was the study conducted?</w:t>
      </w:r>
    </w:p>
    <w:p w14:paraId="47708FFD" w14:textId="602722A3" w:rsidR="00CE219B" w:rsidRPr="00CE219B" w:rsidRDefault="00CE219B" w:rsidP="000B4E73">
      <w:pPr>
        <w:autoSpaceDE w:val="0"/>
        <w:autoSpaceDN w:val="0"/>
        <w:adjustRightInd w:val="0"/>
        <w:spacing w:after="0" w:line="240" w:lineRule="auto"/>
        <w:rPr>
          <w:rFonts w:cs="AdvPS43EDDE"/>
        </w:rPr>
      </w:pPr>
      <w:r w:rsidRPr="00CE219B">
        <w:rPr>
          <w:rFonts w:cs="AdvPS43EDDE"/>
        </w:rPr>
        <w:t>This</w:t>
      </w:r>
      <w:r>
        <w:rPr>
          <w:rFonts w:cs="AdvPS43EDDE"/>
        </w:rPr>
        <w:t xml:space="preserve"> study used a randomized, </w:t>
      </w:r>
      <w:r w:rsidR="000B4E73">
        <w:rPr>
          <w:rFonts w:cs="AdvPS43EDDE"/>
        </w:rPr>
        <w:t>d</w:t>
      </w:r>
      <w:r>
        <w:rPr>
          <w:rFonts w:cs="AdvPS43EDDE"/>
        </w:rPr>
        <w:t>ouble</w:t>
      </w:r>
      <w:r w:rsidR="000B4E73">
        <w:rPr>
          <w:rFonts w:cs="AdvPS43EDDE"/>
        </w:rPr>
        <w:t>-</w:t>
      </w:r>
      <w:r>
        <w:rPr>
          <w:rFonts w:cs="AdvPS43EDDE"/>
        </w:rPr>
        <w:t xml:space="preserve">blinded control trial where </w:t>
      </w:r>
      <w:r w:rsidR="000B4E73">
        <w:rPr>
          <w:rFonts w:cs="AdvPS43EDDE"/>
        </w:rPr>
        <w:t xml:space="preserve">100mg </w:t>
      </w:r>
      <w:r w:rsidR="008F2977">
        <w:rPr>
          <w:rFonts w:cs="AdvPS43EDDE"/>
        </w:rPr>
        <w:t xml:space="preserve">of amantadine </w:t>
      </w:r>
      <w:r w:rsidR="000B4E73">
        <w:rPr>
          <w:rFonts w:cs="AdvPS43EDDE"/>
        </w:rPr>
        <w:t xml:space="preserve">was given twice daily to the control group </w:t>
      </w:r>
      <w:r w:rsidR="000B4E73" w:rsidRPr="000B4E73">
        <w:rPr>
          <w:rFonts w:cs="AdvPS43EDDE"/>
        </w:rPr>
        <w:t>versus placebo for</w:t>
      </w:r>
      <w:r w:rsidR="000B4E73">
        <w:rPr>
          <w:rFonts w:cs="AdvPS43EDDE"/>
        </w:rPr>
        <w:t xml:space="preserve"> </w:t>
      </w:r>
      <w:r w:rsidR="000B4E73" w:rsidRPr="000B4E73">
        <w:rPr>
          <w:rFonts w:cs="AdvPS43EDDE"/>
        </w:rPr>
        <w:t>60 days.</w:t>
      </w:r>
      <w:r w:rsidR="000B4E73">
        <w:rPr>
          <w:rFonts w:cs="AdvPS43EDDE"/>
        </w:rPr>
        <w:t xml:space="preserve"> To monitor and analyze the results, a</w:t>
      </w:r>
      <w:r w:rsidR="000B4E73" w:rsidRPr="000B4E73">
        <w:rPr>
          <w:rFonts w:cs="AdvPS43EDDE"/>
        </w:rPr>
        <w:t xml:space="preserve"> battery of </w:t>
      </w:r>
      <w:hyperlink r:id="rId12" w:anchor="medicalDictionary" w:history="1">
        <w:r w:rsidR="000B4E73" w:rsidRPr="002B125A">
          <w:rPr>
            <w:rStyle w:val="Hyperlink"/>
            <w:rFonts w:cs="AdvPS43EDDE"/>
          </w:rPr>
          <w:t>neuropsychological</w:t>
        </w:r>
      </w:hyperlink>
      <w:r w:rsidR="000B4E73" w:rsidRPr="000B4E73">
        <w:rPr>
          <w:rFonts w:cs="AdvPS43EDDE"/>
        </w:rPr>
        <w:t xml:space="preserve"> measures</w:t>
      </w:r>
      <w:r w:rsidR="000B4E73">
        <w:rPr>
          <w:rFonts w:cs="AdvPS43EDDE"/>
        </w:rPr>
        <w:t xml:space="preserve"> were used followed by a statistical analysis.   </w:t>
      </w:r>
    </w:p>
    <w:bookmarkStart w:id="0" w:name="_Hlk12435186"/>
    <w:p w14:paraId="3AE4439B" w14:textId="77777777" w:rsidR="00D32E30" w:rsidRPr="003574A9" w:rsidRDefault="00610F7A" w:rsidP="00D32E30">
      <w:pPr>
        <w:pStyle w:val="Heading3"/>
        <w:ind w:left="0"/>
      </w:pPr>
      <w:r>
        <w:fldChar w:fldCharType="begin"/>
      </w:r>
      <w:r>
        <w:instrText xml:space="preserve"> HYPERLINK "file:///C:\\Users\\ccai\\AppData\\Local\\Microsoft\\Windows\\Temporary%20Internet%20Files\\Content.Outlook\\4WHR71C4\\Bogner_CER-1403-13476_DFRR_Professional%20and%2</w:instrText>
      </w:r>
      <w:r>
        <w:instrText xml:space="preserve">0Public%20Abstract_SME%20Review_102918%20ccai.docx" \l "Note" \o "Describe who could use the results and how. Could be patient, doctor, administration, centers. Should make sense given findings and study design. Do not overreach." </w:instrText>
      </w:r>
      <w:r>
        <w:fldChar w:fldCharType="separate"/>
      </w:r>
      <w:r w:rsidR="00D32E30" w:rsidRPr="003574A9">
        <w:t>How can people use the results?</w:t>
      </w:r>
      <w:r>
        <w:fldChar w:fldCharType="end"/>
      </w:r>
    </w:p>
    <w:bookmarkEnd w:id="0"/>
    <w:p w14:paraId="575266BC" w14:textId="59BA6CE2" w:rsidR="008F2977" w:rsidRDefault="008F2977" w:rsidP="00205A79">
      <w:pPr>
        <w:tabs>
          <w:tab w:val="left" w:pos="6000"/>
        </w:tabs>
      </w:pPr>
      <w:r>
        <w:t xml:space="preserve">Clinicians can use these results to inform decisions on whether to prescribe </w:t>
      </w:r>
      <w:r w:rsidRPr="008F2977">
        <w:t>amantadine</w:t>
      </w:r>
      <w:r>
        <w:t xml:space="preserve"> to individuals with TBI to improve cognitive functioning. Likewise, individuals with TBI and </w:t>
      </w:r>
      <w:r w:rsidR="00BF3C6A">
        <w:t xml:space="preserve">their </w:t>
      </w:r>
      <w:r>
        <w:t>family members can use the</w:t>
      </w:r>
      <w:r w:rsidR="002B125A">
        <w:t>se</w:t>
      </w:r>
      <w:r w:rsidR="00AD4B61">
        <w:t xml:space="preserve"> results</w:t>
      </w:r>
      <w:r>
        <w:t xml:space="preserve"> to inform </w:t>
      </w:r>
      <w:r w:rsidR="002B125A">
        <w:t xml:space="preserve">their own decision making on </w:t>
      </w:r>
      <w:r w:rsidR="003F04E4">
        <w:t xml:space="preserve">the effectiveness of </w:t>
      </w:r>
      <w:r w:rsidR="002B125A">
        <w:t>amantadine</w:t>
      </w:r>
      <w:r w:rsidR="00907CE4">
        <w:t xml:space="preserve"> for cognitive function</w:t>
      </w:r>
      <w:r w:rsidR="002B125A">
        <w:t xml:space="preserve">. </w:t>
      </w:r>
    </w:p>
    <w:p w14:paraId="0F13F1EF" w14:textId="6694D418" w:rsidR="008F2977" w:rsidRDefault="00E46B7F" w:rsidP="00E46B7F">
      <w:pPr>
        <w:pStyle w:val="Heading3"/>
        <w:ind w:left="0"/>
      </w:pPr>
      <w:hyperlink r:id="rId13" w:anchor="Note" w:tooltip="Describe who could use the results and how. Could be patient, doctor, administration, centers. Should make sense given findings and study design. Do not overreach." w:history="1">
        <w:r>
          <w:t>Reference</w:t>
        </w:r>
      </w:hyperlink>
    </w:p>
    <w:p w14:paraId="287226D2" w14:textId="4012B002" w:rsidR="00B15D01" w:rsidRPr="00507EE6" w:rsidRDefault="002B125A" w:rsidP="00E46B7F">
      <w:pPr>
        <w:tabs>
          <w:tab w:val="left" w:pos="6000"/>
        </w:tabs>
      </w:pPr>
      <w:r w:rsidRPr="002B125A">
        <w:t xml:space="preserve">Hammond, F. M., Sherer, M., </w:t>
      </w:r>
      <w:proofErr w:type="spellStart"/>
      <w:r w:rsidRPr="002B125A">
        <w:t>Malec</w:t>
      </w:r>
      <w:proofErr w:type="spellEnd"/>
      <w:r w:rsidRPr="002B125A">
        <w:t xml:space="preserve">, J. F., </w:t>
      </w:r>
      <w:proofErr w:type="spellStart"/>
      <w:r w:rsidRPr="002B125A">
        <w:t>Zafonte</w:t>
      </w:r>
      <w:proofErr w:type="spellEnd"/>
      <w:r w:rsidRPr="002B125A">
        <w:t xml:space="preserve">, R. D., </w:t>
      </w:r>
      <w:proofErr w:type="spellStart"/>
      <w:r w:rsidRPr="002B125A">
        <w:t>Dikmen</w:t>
      </w:r>
      <w:proofErr w:type="spellEnd"/>
      <w:r w:rsidRPr="002B125A">
        <w:t>, S., Bogner, J., . . . Temkin, N. (2018). Amantadine Did Not Positively Impact Cognition in Chronic Traumatic Brain Injury: A Multi-Site, Randomized, Controlled Trial. Journal of Neurotrauma, 35(19), 2298-2305. doi:10.1089/neu.2018.5767</w:t>
      </w:r>
    </w:p>
    <w:p w14:paraId="7946720F" w14:textId="69678C7A" w:rsidR="0028556A" w:rsidRDefault="00E46B7F" w:rsidP="00E46B7F">
      <w:pPr>
        <w:pStyle w:val="Heading3"/>
        <w:ind w:left="0"/>
      </w:pPr>
      <w:hyperlink r:id="rId14" w:anchor="Note" w:tooltip="Describe who could use the results and how. Could be patient, doctor, administration, centers. Should make sense given findings and study design. Do not overreach." w:history="1">
        <w:r>
          <w:t>Disclaimer</w:t>
        </w:r>
      </w:hyperlink>
      <w:bookmarkStart w:id="1" w:name="_GoBack"/>
      <w:bookmarkEnd w:id="1"/>
    </w:p>
    <w:p w14:paraId="7DC7CD14" w14:textId="7AF367EE" w:rsidR="00F76745" w:rsidRPr="00D53A49" w:rsidRDefault="00D53A49" w:rsidP="0055447C">
      <w:pP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D428A" w14:textId="77777777" w:rsidR="00610F7A" w:rsidRDefault="00610F7A">
      <w:pPr>
        <w:spacing w:before="0" w:after="0" w:line="240" w:lineRule="auto"/>
      </w:pPr>
      <w:r>
        <w:separator/>
      </w:r>
    </w:p>
  </w:endnote>
  <w:endnote w:type="continuationSeparator" w:id="0">
    <w:p w14:paraId="16AF075A" w14:textId="77777777" w:rsidR="00610F7A" w:rsidRDefault="00610F7A">
      <w:pPr>
        <w:spacing w:before="0" w:after="0" w:line="240" w:lineRule="auto"/>
      </w:pPr>
      <w:r>
        <w:continuationSeparator/>
      </w:r>
    </w:p>
  </w:endnote>
  <w:endnote w:type="continuationNotice" w:id="1">
    <w:p w14:paraId="1995DE68" w14:textId="77777777" w:rsidR="00610F7A" w:rsidRDefault="00610F7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dvPS43EDDE">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83CFF" w14:textId="127B3455" w:rsidR="00436B55" w:rsidRPr="004C59F0" w:rsidRDefault="00610F7A"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00436B55" w:rsidRPr="004C59F0">
        <w:rPr>
          <w:rStyle w:val="Hyperlink"/>
          <w:color w:val="FFFFFF" w:themeColor="background1"/>
          <w:u w:val="none"/>
        </w:rPr>
        <w:t>https://msktc.org/tbi</w:t>
      </w:r>
    </w:hyperlink>
    <w:r w:rsidR="00436B55" w:rsidRPr="004C59F0">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E8C26" w14:textId="77777777" w:rsidR="00610F7A" w:rsidRPr="006C7FDE" w:rsidRDefault="00610F7A" w:rsidP="006C7FDE">
      <w:pPr>
        <w:pStyle w:val="Footer"/>
      </w:pPr>
    </w:p>
  </w:footnote>
  <w:footnote w:type="continuationSeparator" w:id="0">
    <w:p w14:paraId="552133D3" w14:textId="77777777" w:rsidR="00610F7A" w:rsidRPr="006C7FDE" w:rsidRDefault="00610F7A" w:rsidP="006C7FDE">
      <w:pPr>
        <w:pStyle w:val="Footer"/>
      </w:pPr>
    </w:p>
  </w:footnote>
  <w:footnote w:type="continuationNotice" w:id="1">
    <w:p w14:paraId="7B56705D" w14:textId="77777777" w:rsidR="00610F7A" w:rsidRDefault="00610F7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5F73D" w14:textId="77777777" w:rsidR="00436B55" w:rsidRPr="00282533" w:rsidRDefault="00436B55"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6" w:nlCheck="1" w:checkStyle="1"/>
  <w:activeWritingStyle w:appName="MSWord" w:lang="en-US" w:vendorID="64" w:dllVersion="0"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12BD6"/>
    <w:rsid w:val="00020BB6"/>
    <w:rsid w:val="00040C12"/>
    <w:rsid w:val="00040F2A"/>
    <w:rsid w:val="0004123D"/>
    <w:rsid w:val="00057592"/>
    <w:rsid w:val="0007334C"/>
    <w:rsid w:val="0007540E"/>
    <w:rsid w:val="00080047"/>
    <w:rsid w:val="000846D7"/>
    <w:rsid w:val="0009322F"/>
    <w:rsid w:val="000A7173"/>
    <w:rsid w:val="000B1BE7"/>
    <w:rsid w:val="000B4E73"/>
    <w:rsid w:val="000B5474"/>
    <w:rsid w:val="000C63F6"/>
    <w:rsid w:val="00101253"/>
    <w:rsid w:val="00105E82"/>
    <w:rsid w:val="00113EDB"/>
    <w:rsid w:val="00117A90"/>
    <w:rsid w:val="001268A0"/>
    <w:rsid w:val="001273C6"/>
    <w:rsid w:val="00127E75"/>
    <w:rsid w:val="0013233C"/>
    <w:rsid w:val="001337EF"/>
    <w:rsid w:val="00147988"/>
    <w:rsid w:val="00154DC8"/>
    <w:rsid w:val="00157858"/>
    <w:rsid w:val="00161014"/>
    <w:rsid w:val="001725AA"/>
    <w:rsid w:val="00183D6A"/>
    <w:rsid w:val="0018455A"/>
    <w:rsid w:val="001B4D9E"/>
    <w:rsid w:val="001D2DE7"/>
    <w:rsid w:val="001E236C"/>
    <w:rsid w:val="001F5587"/>
    <w:rsid w:val="001F6F7A"/>
    <w:rsid w:val="00205A79"/>
    <w:rsid w:val="0022148E"/>
    <w:rsid w:val="002354F0"/>
    <w:rsid w:val="00254C38"/>
    <w:rsid w:val="00264ECC"/>
    <w:rsid w:val="00265393"/>
    <w:rsid w:val="00265B37"/>
    <w:rsid w:val="00265ED2"/>
    <w:rsid w:val="00270784"/>
    <w:rsid w:val="002730BC"/>
    <w:rsid w:val="0028556A"/>
    <w:rsid w:val="002A5E48"/>
    <w:rsid w:val="002A7453"/>
    <w:rsid w:val="002B097A"/>
    <w:rsid w:val="002B125A"/>
    <w:rsid w:val="002D38CA"/>
    <w:rsid w:val="002D4BE0"/>
    <w:rsid w:val="002D67D3"/>
    <w:rsid w:val="002E2116"/>
    <w:rsid w:val="002E3CBE"/>
    <w:rsid w:val="002E5577"/>
    <w:rsid w:val="00317B84"/>
    <w:rsid w:val="00321A6B"/>
    <w:rsid w:val="00322FCA"/>
    <w:rsid w:val="003275CA"/>
    <w:rsid w:val="00333107"/>
    <w:rsid w:val="00344C18"/>
    <w:rsid w:val="00346CD8"/>
    <w:rsid w:val="00371A95"/>
    <w:rsid w:val="00380DCF"/>
    <w:rsid w:val="00380F16"/>
    <w:rsid w:val="003812EA"/>
    <w:rsid w:val="00381598"/>
    <w:rsid w:val="00387B3F"/>
    <w:rsid w:val="003C37E6"/>
    <w:rsid w:val="003D451D"/>
    <w:rsid w:val="003F04E4"/>
    <w:rsid w:val="00420213"/>
    <w:rsid w:val="00423930"/>
    <w:rsid w:val="0043355B"/>
    <w:rsid w:val="00433944"/>
    <w:rsid w:val="00435E44"/>
    <w:rsid w:val="00436B55"/>
    <w:rsid w:val="00445D1A"/>
    <w:rsid w:val="004663F7"/>
    <w:rsid w:val="004709C0"/>
    <w:rsid w:val="00481C3B"/>
    <w:rsid w:val="0048389B"/>
    <w:rsid w:val="00486F57"/>
    <w:rsid w:val="004B3B8B"/>
    <w:rsid w:val="004B4346"/>
    <w:rsid w:val="004B53C9"/>
    <w:rsid w:val="004B71D3"/>
    <w:rsid w:val="004C59F0"/>
    <w:rsid w:val="004C6036"/>
    <w:rsid w:val="004F76FF"/>
    <w:rsid w:val="004F7772"/>
    <w:rsid w:val="00507EE6"/>
    <w:rsid w:val="00522108"/>
    <w:rsid w:val="00525A6A"/>
    <w:rsid w:val="00535CED"/>
    <w:rsid w:val="00542C59"/>
    <w:rsid w:val="005439A8"/>
    <w:rsid w:val="0055447C"/>
    <w:rsid w:val="00557B58"/>
    <w:rsid w:val="00566ABE"/>
    <w:rsid w:val="0056740C"/>
    <w:rsid w:val="00572609"/>
    <w:rsid w:val="005C3438"/>
    <w:rsid w:val="005D2332"/>
    <w:rsid w:val="005D67DD"/>
    <w:rsid w:val="005E4EE1"/>
    <w:rsid w:val="00610F7A"/>
    <w:rsid w:val="00611B8D"/>
    <w:rsid w:val="00615CAD"/>
    <w:rsid w:val="00631A0A"/>
    <w:rsid w:val="0064519B"/>
    <w:rsid w:val="0066558D"/>
    <w:rsid w:val="0067378B"/>
    <w:rsid w:val="00673FEA"/>
    <w:rsid w:val="00675B32"/>
    <w:rsid w:val="00686E7C"/>
    <w:rsid w:val="006A0112"/>
    <w:rsid w:val="006C7FDE"/>
    <w:rsid w:val="006E1CAF"/>
    <w:rsid w:val="006E5CC2"/>
    <w:rsid w:val="006E6158"/>
    <w:rsid w:val="006F74CA"/>
    <w:rsid w:val="006F7D09"/>
    <w:rsid w:val="007034C5"/>
    <w:rsid w:val="00711468"/>
    <w:rsid w:val="007126B2"/>
    <w:rsid w:val="00725580"/>
    <w:rsid w:val="00726246"/>
    <w:rsid w:val="00736FCA"/>
    <w:rsid w:val="0074314A"/>
    <w:rsid w:val="007462F3"/>
    <w:rsid w:val="00777305"/>
    <w:rsid w:val="00785CE7"/>
    <w:rsid w:val="00793240"/>
    <w:rsid w:val="007B17CB"/>
    <w:rsid w:val="007B64E2"/>
    <w:rsid w:val="007C71D6"/>
    <w:rsid w:val="007E1081"/>
    <w:rsid w:val="007E6A41"/>
    <w:rsid w:val="008034F6"/>
    <w:rsid w:val="00835888"/>
    <w:rsid w:val="0084779C"/>
    <w:rsid w:val="008567C5"/>
    <w:rsid w:val="00860B09"/>
    <w:rsid w:val="00861210"/>
    <w:rsid w:val="00862E17"/>
    <w:rsid w:val="00864AFC"/>
    <w:rsid w:val="008D6A74"/>
    <w:rsid w:val="008E1871"/>
    <w:rsid w:val="008E4513"/>
    <w:rsid w:val="008E7EFD"/>
    <w:rsid w:val="008F1C67"/>
    <w:rsid w:val="008F230B"/>
    <w:rsid w:val="008F2977"/>
    <w:rsid w:val="008F52C9"/>
    <w:rsid w:val="00907CE4"/>
    <w:rsid w:val="0091168A"/>
    <w:rsid w:val="00914608"/>
    <w:rsid w:val="009154AD"/>
    <w:rsid w:val="009161F5"/>
    <w:rsid w:val="009216E0"/>
    <w:rsid w:val="00925EF3"/>
    <w:rsid w:val="009270E2"/>
    <w:rsid w:val="00931326"/>
    <w:rsid w:val="0093330A"/>
    <w:rsid w:val="0093353B"/>
    <w:rsid w:val="0095330D"/>
    <w:rsid w:val="0097551C"/>
    <w:rsid w:val="0098165F"/>
    <w:rsid w:val="00983B45"/>
    <w:rsid w:val="00984090"/>
    <w:rsid w:val="00991171"/>
    <w:rsid w:val="009D05E2"/>
    <w:rsid w:val="009D6CB7"/>
    <w:rsid w:val="009F0927"/>
    <w:rsid w:val="009F7207"/>
    <w:rsid w:val="00A138CB"/>
    <w:rsid w:val="00A34025"/>
    <w:rsid w:val="00A3404D"/>
    <w:rsid w:val="00A3453C"/>
    <w:rsid w:val="00A505BB"/>
    <w:rsid w:val="00A5074D"/>
    <w:rsid w:val="00A570FB"/>
    <w:rsid w:val="00A73FA1"/>
    <w:rsid w:val="00A76007"/>
    <w:rsid w:val="00A83B89"/>
    <w:rsid w:val="00AA1093"/>
    <w:rsid w:val="00AB3647"/>
    <w:rsid w:val="00AB56C4"/>
    <w:rsid w:val="00AC0EF0"/>
    <w:rsid w:val="00AD4B61"/>
    <w:rsid w:val="00AD689F"/>
    <w:rsid w:val="00AE5027"/>
    <w:rsid w:val="00B05C04"/>
    <w:rsid w:val="00B15D01"/>
    <w:rsid w:val="00B329BC"/>
    <w:rsid w:val="00B52FFC"/>
    <w:rsid w:val="00B5367C"/>
    <w:rsid w:val="00B5526D"/>
    <w:rsid w:val="00B711C2"/>
    <w:rsid w:val="00B725C0"/>
    <w:rsid w:val="00B74623"/>
    <w:rsid w:val="00B7633C"/>
    <w:rsid w:val="00B80033"/>
    <w:rsid w:val="00B803C6"/>
    <w:rsid w:val="00B90539"/>
    <w:rsid w:val="00B93F0D"/>
    <w:rsid w:val="00B9788A"/>
    <w:rsid w:val="00BA191F"/>
    <w:rsid w:val="00BA668B"/>
    <w:rsid w:val="00BC6137"/>
    <w:rsid w:val="00BD35B2"/>
    <w:rsid w:val="00BD51FF"/>
    <w:rsid w:val="00BF3C6A"/>
    <w:rsid w:val="00C0512E"/>
    <w:rsid w:val="00C16F7D"/>
    <w:rsid w:val="00C22DFC"/>
    <w:rsid w:val="00C235C4"/>
    <w:rsid w:val="00C30ED8"/>
    <w:rsid w:val="00C467E9"/>
    <w:rsid w:val="00C52204"/>
    <w:rsid w:val="00C53CD9"/>
    <w:rsid w:val="00C60D9C"/>
    <w:rsid w:val="00C64EAE"/>
    <w:rsid w:val="00C81849"/>
    <w:rsid w:val="00C84DC0"/>
    <w:rsid w:val="00C86850"/>
    <w:rsid w:val="00C8695F"/>
    <w:rsid w:val="00C93CC2"/>
    <w:rsid w:val="00CA5E1C"/>
    <w:rsid w:val="00CB236F"/>
    <w:rsid w:val="00CD2712"/>
    <w:rsid w:val="00CD45CB"/>
    <w:rsid w:val="00CE219B"/>
    <w:rsid w:val="00CE5C15"/>
    <w:rsid w:val="00CE79D5"/>
    <w:rsid w:val="00CF0DCD"/>
    <w:rsid w:val="00CF6C84"/>
    <w:rsid w:val="00CF74D8"/>
    <w:rsid w:val="00D0785A"/>
    <w:rsid w:val="00D1699C"/>
    <w:rsid w:val="00D202B9"/>
    <w:rsid w:val="00D20A48"/>
    <w:rsid w:val="00D216F1"/>
    <w:rsid w:val="00D22F4B"/>
    <w:rsid w:val="00D262EA"/>
    <w:rsid w:val="00D32E30"/>
    <w:rsid w:val="00D41DF4"/>
    <w:rsid w:val="00D45567"/>
    <w:rsid w:val="00D45581"/>
    <w:rsid w:val="00D53A49"/>
    <w:rsid w:val="00D559E9"/>
    <w:rsid w:val="00D61860"/>
    <w:rsid w:val="00D81619"/>
    <w:rsid w:val="00D84037"/>
    <w:rsid w:val="00D934F9"/>
    <w:rsid w:val="00DC14D1"/>
    <w:rsid w:val="00DC3B80"/>
    <w:rsid w:val="00DC58B2"/>
    <w:rsid w:val="00DC7E14"/>
    <w:rsid w:val="00DD5060"/>
    <w:rsid w:val="00DD72EC"/>
    <w:rsid w:val="00DE424D"/>
    <w:rsid w:val="00DF28A0"/>
    <w:rsid w:val="00E06805"/>
    <w:rsid w:val="00E25C7C"/>
    <w:rsid w:val="00E31C28"/>
    <w:rsid w:val="00E45CFB"/>
    <w:rsid w:val="00E46B7F"/>
    <w:rsid w:val="00E4784E"/>
    <w:rsid w:val="00E7456F"/>
    <w:rsid w:val="00E83AA6"/>
    <w:rsid w:val="00E87176"/>
    <w:rsid w:val="00E87314"/>
    <w:rsid w:val="00E9057C"/>
    <w:rsid w:val="00E95262"/>
    <w:rsid w:val="00EA2AAD"/>
    <w:rsid w:val="00EC1EF8"/>
    <w:rsid w:val="00EF4837"/>
    <w:rsid w:val="00EF53AC"/>
    <w:rsid w:val="00F04BE5"/>
    <w:rsid w:val="00F103AB"/>
    <w:rsid w:val="00F1053F"/>
    <w:rsid w:val="00F15167"/>
    <w:rsid w:val="00F17CEE"/>
    <w:rsid w:val="00F23D48"/>
    <w:rsid w:val="00F25A14"/>
    <w:rsid w:val="00F4413B"/>
    <w:rsid w:val="00F57594"/>
    <w:rsid w:val="00F643BA"/>
    <w:rsid w:val="00F76745"/>
    <w:rsid w:val="00F831BD"/>
    <w:rsid w:val="00F95C61"/>
    <w:rsid w:val="00FA28FF"/>
    <w:rsid w:val="00FC7D0A"/>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5D67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rriam-webster.com/dictionary/neuropsycholog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amantadin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Users\ccai\AppData\Local\Microsoft\Windows\Temporary%20Internet%20Files\Content.Outlook\4WHR71C4\Bogner_CER-1403-13476_DFRR_Professional%20and%20Public%20Abstract_SME%20Review_102918%20ccai.docx"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msktc.org/tb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846E34E-3954-49F5-B8F6-27ED1215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Rasmussen, Jeremy</cp:lastModifiedBy>
  <cp:revision>3</cp:revision>
  <cp:lastPrinted>2014-09-23T15:34:00Z</cp:lastPrinted>
  <dcterms:created xsi:type="dcterms:W3CDTF">2019-06-26T14:51:00Z</dcterms:created>
  <dcterms:modified xsi:type="dcterms:W3CDTF">2019-06-26T14:53:00Z</dcterms:modified>
</cp:coreProperties>
</file>