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6400DD4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7F4217DA">
            <wp:extent cx="2514600" cy="5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C90F54">
      <w:pPr>
        <w:pStyle w:val="Heading2"/>
        <w:jc w:val="left"/>
        <w:rPr>
          <w:rStyle w:val="FootnoteReference"/>
          <w:vertAlign w:val="baseline"/>
        </w:rPr>
        <w:sectPr w:rsidR="00615CAD" w:rsidSect="00B725C0">
          <w:headerReference w:type="default" r:id="rId8"/>
          <w:footerReference w:type="default" r:id="rId9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0FC64788" w14:textId="1D31EC8E" w:rsidR="00254C38" w:rsidRDefault="00BF47A7" w:rsidP="00C90F54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BF47A7">
        <w:rPr>
          <w:rFonts w:ascii="Arial" w:hAnsi="Arial"/>
          <w:color w:val="CA602C"/>
          <w:sz w:val="28"/>
          <w:szCs w:val="32"/>
        </w:rPr>
        <w:t>Post-traumatic epilepsy associations with mental health outcomes in the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BF47A7">
        <w:rPr>
          <w:rFonts w:ascii="Arial" w:hAnsi="Arial"/>
          <w:color w:val="CA602C"/>
          <w:sz w:val="28"/>
          <w:szCs w:val="32"/>
        </w:rPr>
        <w:t>first two years after moderate to severe TBI: A TBI Model Systems analysis</w:t>
      </w:r>
      <w:r w:rsidR="00A138CB" w:rsidRPr="009736F4">
        <w:rPr>
          <w:rFonts w:ascii="Arial" w:hAnsi="Arial"/>
          <w:color w:val="CA602C"/>
          <w:sz w:val="28"/>
          <w:szCs w:val="32"/>
          <w:vertAlign w:val="superscript"/>
        </w:rPr>
        <w:t>1</w:t>
      </w:r>
    </w:p>
    <w:p w14:paraId="52E59DE8" w14:textId="60F7F99B" w:rsidR="00615CAD" w:rsidRPr="00254C38" w:rsidRDefault="00615CAD" w:rsidP="00254C38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FA28FF">
        <w:t>What is</w:t>
      </w:r>
      <w:r w:rsidRPr="00615CAD">
        <w:t xml:space="preserve"> th</w:t>
      </w:r>
      <w:r w:rsidR="00B725C0">
        <w:t>e study about?</w:t>
      </w:r>
      <w:r w:rsidR="003D4C8E">
        <w:t xml:space="preserve"> </w:t>
      </w:r>
    </w:p>
    <w:p w14:paraId="0FA10C1A" w14:textId="511ED315" w:rsidR="006F7D09" w:rsidRPr="00317B84" w:rsidRDefault="006F7D09" w:rsidP="00615CAD">
      <w:pPr>
        <w:pStyle w:val="Body"/>
      </w:pPr>
      <w:r w:rsidRPr="006F7D09">
        <w:t xml:space="preserve">The purpose of this study </w:t>
      </w:r>
      <w:r w:rsidR="00980074">
        <w:t>was</w:t>
      </w:r>
      <w:r w:rsidRPr="006F7D09">
        <w:t xml:space="preserve"> to </w:t>
      </w:r>
      <w:r w:rsidR="000041B2">
        <w:t>assess</w:t>
      </w:r>
      <w:r w:rsidR="00980074">
        <w:t xml:space="preserve"> the association between post-traumatic epilepsy</w:t>
      </w:r>
      <w:r w:rsidR="00375B30">
        <w:t xml:space="preserve"> (PTE)</w:t>
      </w:r>
      <w:r w:rsidR="001309C1">
        <w:t>, occurring during the first 2 years post-injury,</w:t>
      </w:r>
      <w:r w:rsidR="00980074">
        <w:t xml:space="preserve"> and frequency of </w:t>
      </w:r>
      <w:r w:rsidR="009D5CD3">
        <w:t>mental health outcomes (</w:t>
      </w:r>
      <w:r w:rsidR="00980074">
        <w:t>depression and/or anxiety</w:t>
      </w:r>
      <w:r w:rsidR="009D5CD3">
        <w:t>)</w:t>
      </w:r>
      <w:r w:rsidR="001309C1">
        <w:t xml:space="preserve"> during that same time period</w:t>
      </w:r>
      <w:r w:rsidR="00980074">
        <w:t xml:space="preserve"> in a group of individuals with moderate-to-severe TBI who received acute inpatient rehabilitation. </w:t>
      </w:r>
    </w:p>
    <w:p w14:paraId="29CBE9A7" w14:textId="77777777" w:rsidR="004F2122" w:rsidRPr="00FA28FF" w:rsidRDefault="004F2122" w:rsidP="004F2122">
      <w:pPr>
        <w:pStyle w:val="Heading3"/>
        <w:ind w:left="0" w:firstLine="90"/>
      </w:pPr>
      <w:r w:rsidRPr="00FA28FF">
        <w:t>What did the study find?</w:t>
      </w:r>
    </w:p>
    <w:p w14:paraId="7DA62D67" w14:textId="69842C0C" w:rsidR="004F2122" w:rsidRPr="004F2122" w:rsidRDefault="004F2122" w:rsidP="004F2122">
      <w:pPr>
        <w:autoSpaceDE w:val="0"/>
        <w:autoSpaceDN w:val="0"/>
        <w:adjustRightInd w:val="0"/>
        <w:spacing w:before="0" w:after="0" w:line="300" w:lineRule="exact"/>
        <w:ind w:left="90"/>
        <w:rPr>
          <w:rFonts w:ascii="Arial Narrow" w:hAnsi="Arial Narrow" w:cs="Times New Roman"/>
          <w:szCs w:val="14"/>
        </w:rPr>
      </w:pPr>
      <w:r w:rsidRPr="004F2122">
        <w:rPr>
          <w:rFonts w:ascii="Arial Narrow" w:hAnsi="Arial Narrow"/>
        </w:rPr>
        <w:t xml:space="preserve">This study found that </w:t>
      </w:r>
      <w:r w:rsidR="00375B30">
        <w:rPr>
          <w:rFonts w:ascii="Arial Narrow" w:hAnsi="Arial Narrow"/>
        </w:rPr>
        <w:t xml:space="preserve">PTE </w:t>
      </w:r>
      <w:r w:rsidR="001309C1">
        <w:rPr>
          <w:rFonts w:ascii="Arial Narrow" w:hAnsi="Arial Narrow"/>
        </w:rPr>
        <w:t xml:space="preserve">occurring during year-1 post injury </w:t>
      </w:r>
      <w:r w:rsidR="001125BE">
        <w:rPr>
          <w:rFonts w:ascii="Arial Narrow" w:hAnsi="Arial Narrow"/>
        </w:rPr>
        <w:t>was</w:t>
      </w:r>
      <w:r w:rsidR="001125BE" w:rsidRPr="004F2122">
        <w:rPr>
          <w:rFonts w:ascii="Arial Narrow" w:hAnsi="Arial Narrow"/>
        </w:rPr>
        <w:t xml:space="preserve"> </w:t>
      </w:r>
      <w:r w:rsidRPr="004F2122">
        <w:rPr>
          <w:rFonts w:ascii="Arial Narrow" w:hAnsi="Arial Narrow"/>
        </w:rPr>
        <w:t xml:space="preserve">not significantly </w:t>
      </w:r>
      <w:r w:rsidR="001125BE">
        <w:rPr>
          <w:rFonts w:ascii="Arial Narrow" w:hAnsi="Arial Narrow"/>
        </w:rPr>
        <w:t>related</w:t>
      </w:r>
      <w:r w:rsidR="001125BE" w:rsidRPr="004F2122">
        <w:rPr>
          <w:rFonts w:ascii="Arial Narrow" w:hAnsi="Arial Narrow"/>
        </w:rPr>
        <w:t xml:space="preserve"> </w:t>
      </w:r>
      <w:r w:rsidRPr="004F2122">
        <w:rPr>
          <w:rFonts w:ascii="Arial Narrow" w:hAnsi="Arial Narrow"/>
        </w:rPr>
        <w:t xml:space="preserve">to depression status </w:t>
      </w:r>
      <w:r w:rsidR="001125BE">
        <w:rPr>
          <w:rFonts w:ascii="Arial Narrow" w:hAnsi="Arial Narrow"/>
        </w:rPr>
        <w:t>at</w:t>
      </w:r>
      <w:r w:rsidR="001125BE" w:rsidRPr="004F2122">
        <w:rPr>
          <w:rFonts w:ascii="Arial Narrow" w:hAnsi="Arial Narrow"/>
        </w:rPr>
        <w:t xml:space="preserve"> </w:t>
      </w:r>
      <w:r w:rsidRPr="004F2122">
        <w:rPr>
          <w:rFonts w:ascii="Arial Narrow" w:hAnsi="Arial Narrow"/>
        </w:rPr>
        <w:t xml:space="preserve">either year-1 or year-2 </w:t>
      </w:r>
      <w:r w:rsidR="001125BE">
        <w:rPr>
          <w:rFonts w:ascii="Arial Narrow" w:hAnsi="Arial Narrow"/>
        </w:rPr>
        <w:t>after TBI</w:t>
      </w:r>
      <w:r w:rsidRPr="004F2122">
        <w:rPr>
          <w:rFonts w:ascii="Arial Narrow" w:hAnsi="Arial Narrow"/>
        </w:rPr>
        <w:t xml:space="preserve">. However, </w:t>
      </w:r>
      <w:r w:rsidR="001125BE">
        <w:rPr>
          <w:rFonts w:ascii="Arial Narrow" w:hAnsi="Arial Narrow"/>
        </w:rPr>
        <w:t xml:space="preserve">individuals with </w:t>
      </w:r>
      <w:r w:rsidRPr="004F2122">
        <w:rPr>
          <w:rFonts w:ascii="Arial Narrow" w:hAnsi="Arial Narrow" w:cs="Times New Roman"/>
          <w:szCs w:val="14"/>
        </w:rPr>
        <w:t>PTE in year-2</w:t>
      </w:r>
      <w:r w:rsidR="001309C1">
        <w:rPr>
          <w:rFonts w:ascii="Arial Narrow" w:hAnsi="Arial Narrow" w:cs="Times New Roman"/>
          <w:szCs w:val="14"/>
        </w:rPr>
        <w:t xml:space="preserve"> </w:t>
      </w:r>
      <w:r w:rsidRPr="004F2122">
        <w:rPr>
          <w:rFonts w:ascii="Arial Narrow" w:hAnsi="Arial Narrow" w:cs="Times New Roman"/>
          <w:szCs w:val="14"/>
        </w:rPr>
        <w:t>had 3.34 times the likelihood (p=.002) of having clinically significant anxiety</w:t>
      </w:r>
      <w:r w:rsidR="001125BE">
        <w:rPr>
          <w:rFonts w:ascii="Arial Narrow" w:hAnsi="Arial Narrow" w:cs="Times New Roman"/>
          <w:szCs w:val="14"/>
        </w:rPr>
        <w:t xml:space="preserve"> at year-2</w:t>
      </w:r>
      <w:r w:rsidRPr="004F2122">
        <w:rPr>
          <w:rFonts w:ascii="Arial Narrow" w:hAnsi="Arial Narrow" w:cs="Times New Roman"/>
          <w:szCs w:val="14"/>
        </w:rPr>
        <w:t>, even after accounting for other relevant predictors</w:t>
      </w:r>
      <w:r w:rsidR="001125BE">
        <w:rPr>
          <w:rFonts w:ascii="Arial Narrow" w:hAnsi="Arial Narrow" w:cs="Times New Roman"/>
          <w:szCs w:val="14"/>
        </w:rPr>
        <w:t xml:space="preserve"> of anxiety</w:t>
      </w:r>
      <w:r w:rsidRPr="004F2122">
        <w:rPr>
          <w:rFonts w:ascii="Arial Narrow" w:hAnsi="Arial Narrow" w:cs="Times New Roman"/>
          <w:szCs w:val="14"/>
        </w:rPr>
        <w:t xml:space="preserve">. </w:t>
      </w:r>
      <w:r w:rsidR="001309C1">
        <w:rPr>
          <w:rFonts w:ascii="Arial Narrow" w:hAnsi="Arial Narrow" w:cs="Times New Roman"/>
          <w:szCs w:val="14"/>
        </w:rPr>
        <w:t>Also,</w:t>
      </w:r>
      <w:r w:rsidRPr="004F2122">
        <w:rPr>
          <w:rFonts w:ascii="Arial Narrow" w:hAnsi="Arial Narrow" w:cs="Times New Roman"/>
          <w:szCs w:val="14"/>
        </w:rPr>
        <w:t xml:space="preserve"> participants who self-identified as Black were more likely to report clinical symptoms of anxiety</w:t>
      </w:r>
      <w:r w:rsidR="001309C1">
        <w:rPr>
          <w:rFonts w:ascii="Arial Narrow" w:hAnsi="Arial Narrow" w:cs="Times New Roman"/>
          <w:szCs w:val="14"/>
        </w:rPr>
        <w:t xml:space="preserve"> in year-2</w:t>
      </w:r>
      <w:r w:rsidRPr="004F2122">
        <w:rPr>
          <w:rFonts w:ascii="Arial Narrow" w:hAnsi="Arial Narrow" w:cs="Times New Roman"/>
          <w:szCs w:val="14"/>
        </w:rPr>
        <w:t xml:space="preserve"> than those who identified as White. PTE was the only significant factor that predicted </w:t>
      </w:r>
      <w:r w:rsidR="00A73DFB">
        <w:rPr>
          <w:rFonts w:ascii="Arial Narrow" w:hAnsi="Arial Narrow" w:cs="Times New Roman"/>
          <w:szCs w:val="14"/>
        </w:rPr>
        <w:t xml:space="preserve">having both </w:t>
      </w:r>
      <w:r w:rsidRPr="004F2122">
        <w:rPr>
          <w:rFonts w:ascii="Arial Narrow" w:hAnsi="Arial Narrow" w:cs="Times New Roman"/>
          <w:szCs w:val="14"/>
        </w:rPr>
        <w:t>depression and anxiety at year-2.</w:t>
      </w:r>
    </w:p>
    <w:p w14:paraId="1A15E531" w14:textId="48B9094A" w:rsidR="00C90F54" w:rsidRDefault="00615CAD" w:rsidP="00C90F54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5854FCF4" w14:textId="31F74AE9" w:rsidR="00265ED2" w:rsidRPr="00C90F54" w:rsidRDefault="009736F4" w:rsidP="00375B30">
      <w:pPr>
        <w:pStyle w:val="Heading3"/>
        <w:spacing w:before="0"/>
      </w:pPr>
      <w:r w:rsidRPr="009736F4">
        <w:rPr>
          <w:rFonts w:eastAsiaTheme="minorHAnsi"/>
          <w:b w:val="0"/>
          <w:noProof w:val="0"/>
          <w:color w:val="auto"/>
          <w:sz w:val="22"/>
          <w:szCs w:val="20"/>
        </w:rPr>
        <w:t>This study consist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ed</w:t>
      </w:r>
      <w:r w:rsidRPr="009736F4">
        <w:rPr>
          <w:rFonts w:eastAsiaTheme="minorHAnsi"/>
          <w:b w:val="0"/>
          <w:noProof w:val="0"/>
          <w:color w:val="auto"/>
          <w:sz w:val="22"/>
          <w:szCs w:val="20"/>
        </w:rPr>
        <w:t xml:space="preserve"> of 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867</w:t>
      </w:r>
      <w:r w:rsidRPr="009736F4">
        <w:rPr>
          <w:rFonts w:eastAsiaTheme="minorHAnsi"/>
          <w:b w:val="0"/>
          <w:noProof w:val="0"/>
          <w:color w:val="auto"/>
          <w:sz w:val="22"/>
          <w:szCs w:val="20"/>
        </w:rPr>
        <w:t xml:space="preserve"> 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participants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, with 453 participants </w:t>
      </w:r>
      <w:r w:rsidR="002235A7">
        <w:rPr>
          <w:rFonts w:eastAsiaTheme="minorHAnsi"/>
          <w:b w:val="0"/>
          <w:noProof w:val="0"/>
          <w:color w:val="auto"/>
          <w:sz w:val="22"/>
          <w:szCs w:val="20"/>
        </w:rPr>
        <w:t>at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 year</w:t>
      </w:r>
      <w:r w:rsidR="001309C1">
        <w:rPr>
          <w:rFonts w:eastAsiaTheme="minorHAnsi"/>
          <w:b w:val="0"/>
          <w:noProof w:val="0"/>
          <w:color w:val="auto"/>
          <w:sz w:val="22"/>
          <w:szCs w:val="20"/>
        </w:rPr>
        <w:t>-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1 and 434 </w:t>
      </w:r>
      <w:r w:rsidR="002235A7">
        <w:rPr>
          <w:rFonts w:eastAsiaTheme="minorHAnsi"/>
          <w:b w:val="0"/>
          <w:noProof w:val="0"/>
          <w:color w:val="auto"/>
          <w:sz w:val="22"/>
          <w:szCs w:val="20"/>
        </w:rPr>
        <w:t>at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 year</w:t>
      </w:r>
      <w:r w:rsidR="001309C1">
        <w:rPr>
          <w:rFonts w:eastAsiaTheme="minorHAnsi"/>
          <w:b w:val="0"/>
          <w:noProof w:val="0"/>
          <w:color w:val="auto"/>
          <w:sz w:val="22"/>
          <w:szCs w:val="20"/>
        </w:rPr>
        <w:t>-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2 </w:t>
      </w:r>
      <w:r w:rsidR="002235A7">
        <w:rPr>
          <w:rFonts w:eastAsiaTheme="minorHAnsi"/>
          <w:b w:val="0"/>
          <w:noProof w:val="0"/>
          <w:color w:val="auto"/>
          <w:sz w:val="22"/>
          <w:szCs w:val="20"/>
        </w:rPr>
        <w:t>post-injury</w:t>
      </w:r>
      <w:r w:rsidR="00C94794">
        <w:rPr>
          <w:rFonts w:eastAsiaTheme="minorHAnsi"/>
          <w:b w:val="0"/>
          <w:noProof w:val="0"/>
          <w:color w:val="auto"/>
          <w:sz w:val="22"/>
          <w:szCs w:val="20"/>
        </w:rPr>
        <w:t xml:space="preserve">. </w:t>
      </w:r>
      <w:bookmarkStart w:id="0" w:name="_GoBack"/>
      <w:bookmarkEnd w:id="0"/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Participants had a documented moderate/severe TBI, were 16 years or older, and were admitted to a participating hospital within 72 hours of injury with ongoing acute care and inpatient rehabilitation at a TBI</w:t>
      </w:r>
      <w:r w:rsidR="003169B4">
        <w:rPr>
          <w:rFonts w:eastAsiaTheme="minorHAnsi"/>
          <w:b w:val="0"/>
          <w:noProof w:val="0"/>
          <w:color w:val="auto"/>
          <w:sz w:val="22"/>
          <w:szCs w:val="20"/>
        </w:rPr>
        <w:t xml:space="preserve"> 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M</w:t>
      </w:r>
      <w:r w:rsidR="003169B4">
        <w:rPr>
          <w:rFonts w:eastAsiaTheme="minorHAnsi"/>
          <w:b w:val="0"/>
          <w:noProof w:val="0"/>
          <w:color w:val="auto"/>
          <w:sz w:val="22"/>
          <w:szCs w:val="20"/>
        </w:rPr>
        <w:t xml:space="preserve">odel 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>S</w:t>
      </w:r>
      <w:r w:rsidR="003169B4">
        <w:rPr>
          <w:rFonts w:eastAsiaTheme="minorHAnsi"/>
          <w:b w:val="0"/>
          <w:noProof w:val="0"/>
          <w:color w:val="auto"/>
          <w:sz w:val="22"/>
          <w:szCs w:val="20"/>
        </w:rPr>
        <w:t>ystems</w:t>
      </w:r>
      <w:r w:rsidR="00980074">
        <w:rPr>
          <w:rFonts w:eastAsiaTheme="minorHAnsi"/>
          <w:b w:val="0"/>
          <w:noProof w:val="0"/>
          <w:color w:val="auto"/>
          <w:sz w:val="22"/>
          <w:szCs w:val="20"/>
        </w:rPr>
        <w:t xml:space="preserve"> hospital. </w:t>
      </w:r>
    </w:p>
    <w:p w14:paraId="5A791BB4" w14:textId="4F79041E" w:rsidR="00615CAD" w:rsidRPr="00FA28FF" w:rsidRDefault="00615CAD" w:rsidP="000B1BE7">
      <w:pPr>
        <w:pStyle w:val="Heading3"/>
      </w:pPr>
      <w:r w:rsidRPr="00FA28FF">
        <w:t>How was the study conducted?</w:t>
      </w:r>
    </w:p>
    <w:p w14:paraId="31262215" w14:textId="5E141D76" w:rsidR="00D96EAA" w:rsidRDefault="00584D13" w:rsidP="004F2122">
      <w:pPr>
        <w:pStyle w:val="Body"/>
        <w:ind w:left="86"/>
      </w:pPr>
      <w:r>
        <w:t xml:space="preserve">This study </w:t>
      </w:r>
      <w:r w:rsidR="009D5CD3">
        <w:t xml:space="preserve">used </w:t>
      </w:r>
      <w:r w:rsidR="004A59DB">
        <w:t xml:space="preserve">information from people enrolled in the </w:t>
      </w:r>
      <w:r>
        <w:t>TBI Model System National Database</w:t>
      </w:r>
      <w:r w:rsidR="004A59DB">
        <w:t xml:space="preserve"> to </w:t>
      </w:r>
      <w:r>
        <w:t>examine differences in depression and anxiety</w:t>
      </w:r>
      <w:r w:rsidR="004A59DB">
        <w:t xml:space="preserve"> symptoms based on having or not having</w:t>
      </w:r>
      <w:r>
        <w:t xml:space="preserve"> post-traumatic epilepsy at 1 and </w:t>
      </w:r>
      <w:r w:rsidR="00F87A36">
        <w:t>2</w:t>
      </w:r>
      <w:r>
        <w:t xml:space="preserve"> years after </w:t>
      </w:r>
      <w:r w:rsidR="00C90F54">
        <w:t>injury</w:t>
      </w:r>
      <w:r>
        <w:t xml:space="preserve">. </w:t>
      </w:r>
    </w:p>
    <w:p w14:paraId="53F6D5E3" w14:textId="45F4AB59" w:rsidR="00A46B7C" w:rsidRDefault="00A46B7C" w:rsidP="00B40C12">
      <w:pPr>
        <w:pStyle w:val="Heading3"/>
        <w:spacing w:after="120"/>
      </w:pPr>
      <w:r w:rsidRPr="00FA28FF">
        <w:t xml:space="preserve">How </w:t>
      </w:r>
      <w:r>
        <w:t>can people use the results</w:t>
      </w:r>
      <w:r w:rsidRPr="00FA28FF">
        <w:t>?</w:t>
      </w:r>
    </w:p>
    <w:p w14:paraId="565E5012" w14:textId="199565E1" w:rsidR="00375B30" w:rsidRPr="00B40C12" w:rsidRDefault="00375B30" w:rsidP="00B40C12">
      <w:pPr>
        <w:spacing w:before="0" w:after="0"/>
        <w:ind w:left="90"/>
        <w:rPr>
          <w:rFonts w:ascii="Arial Narrow" w:hAnsi="Arial Narrow"/>
        </w:rPr>
      </w:pPr>
      <w:r w:rsidRPr="00B40C12">
        <w:rPr>
          <w:rFonts w:ascii="Arial Narrow" w:hAnsi="Arial Narrow"/>
        </w:rPr>
        <w:t xml:space="preserve">Clinicians can use the results of this study </w:t>
      </w:r>
      <w:r w:rsidR="009F1CA4">
        <w:rPr>
          <w:rFonts w:ascii="Arial Narrow" w:hAnsi="Arial Narrow"/>
        </w:rPr>
        <w:t>to help decide</w:t>
      </w:r>
      <w:r w:rsidRPr="00B40C12">
        <w:rPr>
          <w:rFonts w:ascii="Arial Narrow" w:hAnsi="Arial Narrow"/>
        </w:rPr>
        <w:t xml:space="preserve"> whether to screen </w:t>
      </w:r>
      <w:r w:rsidR="009F1CA4">
        <w:rPr>
          <w:rFonts w:ascii="Arial Narrow" w:hAnsi="Arial Narrow"/>
        </w:rPr>
        <w:t xml:space="preserve">for </w:t>
      </w:r>
      <w:r w:rsidRPr="00B40C12">
        <w:rPr>
          <w:rFonts w:ascii="Arial Narrow" w:hAnsi="Arial Narrow"/>
        </w:rPr>
        <w:t xml:space="preserve">and treat </w:t>
      </w:r>
      <w:r w:rsidR="009F1CA4">
        <w:rPr>
          <w:rFonts w:ascii="Arial Narrow" w:hAnsi="Arial Narrow"/>
        </w:rPr>
        <w:t xml:space="preserve">anxiety in </w:t>
      </w:r>
      <w:r w:rsidRPr="00B40C12">
        <w:rPr>
          <w:rFonts w:ascii="Arial Narrow" w:hAnsi="Arial Narrow"/>
        </w:rPr>
        <w:t xml:space="preserve">people with </w:t>
      </w:r>
      <w:r w:rsidR="00B40C12" w:rsidRPr="00B40C12">
        <w:rPr>
          <w:rFonts w:ascii="Arial Narrow" w:hAnsi="Arial Narrow"/>
        </w:rPr>
        <w:t>TBI</w:t>
      </w:r>
      <w:r w:rsidR="009F1CA4">
        <w:rPr>
          <w:rFonts w:ascii="Arial Narrow" w:hAnsi="Arial Narrow"/>
        </w:rPr>
        <w:t xml:space="preserve"> who have developed PTE</w:t>
      </w:r>
      <w:r w:rsidRPr="00B40C12">
        <w:rPr>
          <w:rFonts w:ascii="Arial Narrow" w:hAnsi="Arial Narrow"/>
        </w:rPr>
        <w:t xml:space="preserve">. People with </w:t>
      </w:r>
      <w:r w:rsidR="00B40C12" w:rsidRPr="00B40C12">
        <w:rPr>
          <w:rFonts w:ascii="Arial Narrow" w:hAnsi="Arial Narrow"/>
        </w:rPr>
        <w:t>TBI</w:t>
      </w:r>
      <w:r w:rsidRPr="00B40C12">
        <w:rPr>
          <w:rFonts w:ascii="Arial Narrow" w:hAnsi="Arial Narrow"/>
        </w:rPr>
        <w:t xml:space="preserve"> can use these results to better </w:t>
      </w:r>
      <w:r w:rsidR="009F1CA4">
        <w:rPr>
          <w:rFonts w:ascii="Arial Narrow" w:hAnsi="Arial Narrow"/>
        </w:rPr>
        <w:t xml:space="preserve">understand the relationship </w:t>
      </w:r>
      <w:r w:rsidR="00B40C12" w:rsidRPr="00B40C12">
        <w:rPr>
          <w:rFonts w:ascii="Arial Narrow" w:hAnsi="Arial Narrow"/>
        </w:rPr>
        <w:t>between PTE and anxiety.</w:t>
      </w:r>
    </w:p>
    <w:p w14:paraId="221553CC" w14:textId="77777777" w:rsidR="004F2122" w:rsidRDefault="004F2122" w:rsidP="00B40C12">
      <w:pPr>
        <w:pStyle w:val="Body"/>
        <w:ind w:left="0"/>
      </w:pPr>
    </w:p>
    <w:p w14:paraId="5BC8E7BB" w14:textId="64FCC4FA" w:rsidR="00D51FBA" w:rsidRPr="00B40C12" w:rsidRDefault="00C90F54" w:rsidP="00B40C12">
      <w:r w:rsidRPr="00274C6F">
        <w:rPr>
          <w:rStyle w:val="FootnoteReference"/>
          <w:rFonts w:ascii="Arial Narrow" w:hAnsi="Arial Narrow" w:cstheme="minorHAnsi"/>
          <w:sz w:val="18"/>
          <w:szCs w:val="18"/>
        </w:rPr>
        <w:footnoteRef/>
      </w:r>
      <w:r w:rsidRPr="009736F4">
        <w:t xml:space="preserve"> </w:t>
      </w:r>
      <w:r>
        <w:rPr>
          <w:rFonts w:ascii="Arial Narrow" w:hAnsi="Arial Narrow" w:cstheme="minorHAnsi"/>
          <w:sz w:val="18"/>
          <w:szCs w:val="18"/>
        </w:rPr>
        <w:t xml:space="preserve">Juengst, Shannon B, Wagner, Amy K., Ritter, Anne C., Szaflarski, Jerzy P., Walker, William C., Zafonte, Ross D., Brown, Allen W., Hammond, Flora M., Pugh, Mary Jo., Shea, Timothy, </w:t>
      </w:r>
      <w:proofErr w:type="spellStart"/>
      <w:r>
        <w:rPr>
          <w:rFonts w:ascii="Arial Narrow" w:hAnsi="Arial Narrow" w:cstheme="minorHAnsi"/>
          <w:sz w:val="18"/>
          <w:szCs w:val="18"/>
        </w:rPr>
        <w:t>Krellman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, Jason W., </w:t>
      </w:r>
      <w:proofErr w:type="spellStart"/>
      <w:r>
        <w:rPr>
          <w:rFonts w:ascii="Arial Narrow" w:hAnsi="Arial Narrow" w:cstheme="minorHAnsi"/>
          <w:sz w:val="18"/>
          <w:szCs w:val="18"/>
        </w:rPr>
        <w:t>Bushnik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, Tamara, </w:t>
      </w:r>
      <w:proofErr w:type="spellStart"/>
      <w:r>
        <w:rPr>
          <w:rFonts w:ascii="Arial Narrow" w:hAnsi="Arial Narrow" w:cstheme="minorHAnsi"/>
          <w:sz w:val="18"/>
          <w:szCs w:val="18"/>
        </w:rPr>
        <w:t>Arenth</w:t>
      </w:r>
      <w:proofErr w:type="spellEnd"/>
      <w:r>
        <w:rPr>
          <w:rFonts w:ascii="Arial Narrow" w:hAnsi="Arial Narrow" w:cstheme="minorHAnsi"/>
          <w:sz w:val="18"/>
          <w:szCs w:val="18"/>
        </w:rPr>
        <w:t>, Patricia M.</w:t>
      </w:r>
      <w:r w:rsidRPr="00274C6F">
        <w:rPr>
          <w:rFonts w:ascii="Arial Narrow" w:hAnsi="Arial Narrow" w:cstheme="minorHAnsi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</w:rPr>
        <w:t>(2017</w:t>
      </w:r>
      <w:r w:rsidRPr="00274C6F">
        <w:rPr>
          <w:rFonts w:ascii="Arial Narrow" w:hAnsi="Arial Narrow" w:cstheme="minorHAnsi"/>
          <w:sz w:val="18"/>
          <w:szCs w:val="18"/>
        </w:rPr>
        <w:t>).</w:t>
      </w:r>
      <w:r w:rsidRPr="00BF47A7">
        <w:t xml:space="preserve"> </w:t>
      </w:r>
      <w:r w:rsidRPr="00BF47A7">
        <w:rPr>
          <w:rFonts w:ascii="Arial Narrow" w:hAnsi="Arial Narrow" w:cstheme="minorHAnsi"/>
          <w:sz w:val="18"/>
          <w:szCs w:val="18"/>
        </w:rPr>
        <w:t>Post-traumatic epilepsy associations with mental health outcomes in the first two years after moderate to severe TBI: A TBI Model Systems analysis</w:t>
      </w:r>
      <w:r w:rsidRPr="00274C6F">
        <w:rPr>
          <w:rFonts w:ascii="Arial Narrow" w:hAnsi="Arial Narrow" w:cstheme="minorHAnsi"/>
          <w:i/>
          <w:sz w:val="18"/>
          <w:szCs w:val="18"/>
        </w:rPr>
        <w:t xml:space="preserve">. </w:t>
      </w:r>
      <w:r>
        <w:rPr>
          <w:rFonts w:ascii="Arial Narrow" w:hAnsi="Arial Narrow" w:cstheme="minorHAnsi"/>
          <w:i/>
          <w:sz w:val="18"/>
          <w:szCs w:val="18"/>
        </w:rPr>
        <w:t xml:space="preserve">Epilepsy and Behavior, 73(1), 240-246. </w:t>
      </w:r>
      <w:r>
        <w:rPr>
          <w:rFonts w:ascii="Arial Narrow" w:hAnsi="Arial Narrow" w:cstheme="minorHAnsi"/>
          <w:sz w:val="18"/>
          <w:szCs w:val="18"/>
        </w:rPr>
        <w:t xml:space="preserve">Retrieved from </w:t>
      </w:r>
      <w:hyperlink r:id="rId10" w:history="1">
        <w:r w:rsidR="00D51FBA" w:rsidRPr="007F1BF3">
          <w:rPr>
            <w:rStyle w:val="Hyperlink"/>
            <w:rFonts w:ascii="Arial Narrow" w:hAnsi="Arial Narrow" w:cstheme="minorHAnsi"/>
            <w:sz w:val="18"/>
            <w:szCs w:val="18"/>
          </w:rPr>
          <w:t>https://www.ncbi.nlm.nih.gov/pubmed/28658654</w:t>
        </w:r>
      </w:hyperlink>
      <w:r w:rsidR="00D51FBA">
        <w:rPr>
          <w:rFonts w:ascii="Arial Narrow" w:hAnsi="Arial Narrow" w:cstheme="minorHAnsi"/>
          <w:sz w:val="18"/>
          <w:szCs w:val="18"/>
        </w:rPr>
        <w:t xml:space="preserve"> </w:t>
      </w:r>
    </w:p>
    <w:p w14:paraId="080EC9ED" w14:textId="456EE4C6" w:rsidR="004C59F0" w:rsidRDefault="004C59F0" w:rsidP="009525AD">
      <w:pPr>
        <w:pStyle w:val="Background"/>
        <w:jc w:val="left"/>
      </w:pPr>
      <w:r w:rsidRPr="004C59F0">
        <w:rPr>
          <w:color w:val="000000" w:themeColor="text1"/>
          <w:szCs w:val="18"/>
        </w:rPr>
        <w:t xml:space="preserve">The contents of this </w:t>
      </w:r>
      <w:r w:rsidR="00EF4837">
        <w:rPr>
          <w:color w:val="000000" w:themeColor="text1"/>
          <w:szCs w:val="18"/>
        </w:rPr>
        <w:t xml:space="preserve">quick review </w:t>
      </w:r>
      <w:r w:rsidRPr="004C59F0">
        <w:rPr>
          <w:color w:val="000000" w:themeColor="text1"/>
          <w:szCs w:val="18"/>
        </w:rPr>
        <w:t>were developed under a grant from the National Institute on Disability, Independent Living, and Rehabilitation Research (NIDILRR grant number 90</w:t>
      </w:r>
      <w:r w:rsidR="002A5E48">
        <w:rPr>
          <w:rFonts w:cs="Helvetica"/>
        </w:rPr>
        <w:t>DP0082</w:t>
      </w:r>
      <w:r w:rsidRPr="004C59F0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EF4837">
        <w:rPr>
          <w:color w:val="000000" w:themeColor="text1"/>
          <w:szCs w:val="18"/>
        </w:rPr>
        <w:t>quick review</w:t>
      </w:r>
      <w:r w:rsidRPr="004C59F0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4C59F0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3C7A" w14:textId="77777777" w:rsidR="004C0CE3" w:rsidRDefault="004C0CE3">
      <w:pPr>
        <w:spacing w:before="0" w:after="0" w:line="240" w:lineRule="auto"/>
      </w:pPr>
      <w:r>
        <w:separator/>
      </w:r>
    </w:p>
  </w:endnote>
  <w:endnote w:type="continuationSeparator" w:id="0">
    <w:p w14:paraId="16691169" w14:textId="77777777" w:rsidR="004C0CE3" w:rsidRDefault="004C0CE3">
      <w:pPr>
        <w:spacing w:before="0" w:after="0" w:line="240" w:lineRule="auto"/>
      </w:pPr>
      <w:r>
        <w:continuationSeparator/>
      </w:r>
    </w:p>
  </w:endnote>
  <w:endnote w:type="continuationNotice" w:id="1">
    <w:p w14:paraId="0876B4FC" w14:textId="77777777" w:rsidR="004C0CE3" w:rsidRDefault="004C0C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CFF" w14:textId="127B3455" w:rsidR="009154AD" w:rsidRPr="004C59F0" w:rsidRDefault="004C0CE3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C59F0" w:rsidRPr="004C59F0">
        <w:rPr>
          <w:rStyle w:val="Hyperlink"/>
          <w:color w:val="FFFFFF" w:themeColor="background1"/>
          <w:u w:val="none"/>
        </w:rPr>
        <w:t>https://msktc.org/tbi</w:t>
      </w:r>
    </w:hyperlink>
    <w:r w:rsidR="004C59F0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8CF3" w14:textId="77777777" w:rsidR="004C0CE3" w:rsidRPr="006C7FDE" w:rsidRDefault="004C0CE3" w:rsidP="006C7FDE">
      <w:pPr>
        <w:pStyle w:val="Footer"/>
      </w:pPr>
    </w:p>
  </w:footnote>
  <w:footnote w:type="continuationSeparator" w:id="0">
    <w:p w14:paraId="6ECE19E5" w14:textId="77777777" w:rsidR="004C0CE3" w:rsidRPr="006C7FDE" w:rsidRDefault="004C0CE3" w:rsidP="006C7FDE">
      <w:pPr>
        <w:pStyle w:val="Footer"/>
      </w:pPr>
    </w:p>
  </w:footnote>
  <w:footnote w:type="continuationNotice" w:id="1">
    <w:p w14:paraId="5000A95E" w14:textId="77777777" w:rsidR="004C0CE3" w:rsidRDefault="004C0C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041B2"/>
    <w:rsid w:val="00012BD6"/>
    <w:rsid w:val="00040F2A"/>
    <w:rsid w:val="0004123D"/>
    <w:rsid w:val="00057592"/>
    <w:rsid w:val="0007334C"/>
    <w:rsid w:val="00080047"/>
    <w:rsid w:val="00081653"/>
    <w:rsid w:val="000B1BE7"/>
    <w:rsid w:val="000C63F6"/>
    <w:rsid w:val="000E6D33"/>
    <w:rsid w:val="00101253"/>
    <w:rsid w:val="00105E82"/>
    <w:rsid w:val="001125BE"/>
    <w:rsid w:val="00113EDB"/>
    <w:rsid w:val="00117A90"/>
    <w:rsid w:val="00122EE1"/>
    <w:rsid w:val="00123285"/>
    <w:rsid w:val="00127E75"/>
    <w:rsid w:val="001309C1"/>
    <w:rsid w:val="001337EF"/>
    <w:rsid w:val="00147988"/>
    <w:rsid w:val="00157858"/>
    <w:rsid w:val="001725AA"/>
    <w:rsid w:val="00183D6A"/>
    <w:rsid w:val="001B4D9E"/>
    <w:rsid w:val="001D2DE7"/>
    <w:rsid w:val="001E236C"/>
    <w:rsid w:val="001F017F"/>
    <w:rsid w:val="001F5587"/>
    <w:rsid w:val="002235A7"/>
    <w:rsid w:val="00254C38"/>
    <w:rsid w:val="00264ECC"/>
    <w:rsid w:val="00265ED2"/>
    <w:rsid w:val="00270784"/>
    <w:rsid w:val="002730BC"/>
    <w:rsid w:val="002A160C"/>
    <w:rsid w:val="002A5E48"/>
    <w:rsid w:val="002A7453"/>
    <w:rsid w:val="002B097A"/>
    <w:rsid w:val="002E3CBE"/>
    <w:rsid w:val="002E5577"/>
    <w:rsid w:val="003169B4"/>
    <w:rsid w:val="00317B84"/>
    <w:rsid w:val="00321A6B"/>
    <w:rsid w:val="00322FCA"/>
    <w:rsid w:val="00346CD8"/>
    <w:rsid w:val="00375B30"/>
    <w:rsid w:val="00380DCF"/>
    <w:rsid w:val="003812EA"/>
    <w:rsid w:val="00387B3F"/>
    <w:rsid w:val="003D1602"/>
    <w:rsid w:val="003D451D"/>
    <w:rsid w:val="003D4C8E"/>
    <w:rsid w:val="003D7F05"/>
    <w:rsid w:val="003E3E1E"/>
    <w:rsid w:val="00423930"/>
    <w:rsid w:val="0043355B"/>
    <w:rsid w:val="00445D1A"/>
    <w:rsid w:val="004663F7"/>
    <w:rsid w:val="004709C0"/>
    <w:rsid w:val="00486F57"/>
    <w:rsid w:val="004A59DB"/>
    <w:rsid w:val="004B3B8B"/>
    <w:rsid w:val="004B53C9"/>
    <w:rsid w:val="004B71D3"/>
    <w:rsid w:val="004C0547"/>
    <w:rsid w:val="004C0CE3"/>
    <w:rsid w:val="004C59F0"/>
    <w:rsid w:val="004C6036"/>
    <w:rsid w:val="004F2122"/>
    <w:rsid w:val="004F7772"/>
    <w:rsid w:val="00522108"/>
    <w:rsid w:val="00525A6A"/>
    <w:rsid w:val="005439A8"/>
    <w:rsid w:val="00543D4D"/>
    <w:rsid w:val="00557B58"/>
    <w:rsid w:val="00584D13"/>
    <w:rsid w:val="00586C32"/>
    <w:rsid w:val="005D2332"/>
    <w:rsid w:val="00615CAD"/>
    <w:rsid w:val="00620C0A"/>
    <w:rsid w:val="006313D9"/>
    <w:rsid w:val="0064519B"/>
    <w:rsid w:val="0066558D"/>
    <w:rsid w:val="00673FEA"/>
    <w:rsid w:val="00675B32"/>
    <w:rsid w:val="006850BF"/>
    <w:rsid w:val="006C7FDE"/>
    <w:rsid w:val="006E1CAF"/>
    <w:rsid w:val="006E6158"/>
    <w:rsid w:val="006F7D09"/>
    <w:rsid w:val="007034C5"/>
    <w:rsid w:val="007126B2"/>
    <w:rsid w:val="00736FCA"/>
    <w:rsid w:val="00793240"/>
    <w:rsid w:val="007A75F0"/>
    <w:rsid w:val="007B17CB"/>
    <w:rsid w:val="007B64E2"/>
    <w:rsid w:val="007C71D6"/>
    <w:rsid w:val="007E1081"/>
    <w:rsid w:val="007E6A41"/>
    <w:rsid w:val="007F51A5"/>
    <w:rsid w:val="008034F6"/>
    <w:rsid w:val="00835888"/>
    <w:rsid w:val="0084779C"/>
    <w:rsid w:val="008567C5"/>
    <w:rsid w:val="00861210"/>
    <w:rsid w:val="00864AFC"/>
    <w:rsid w:val="008D6A74"/>
    <w:rsid w:val="008F1C35"/>
    <w:rsid w:val="008F1C67"/>
    <w:rsid w:val="008F230B"/>
    <w:rsid w:val="008F52C9"/>
    <w:rsid w:val="00914608"/>
    <w:rsid w:val="009154AD"/>
    <w:rsid w:val="00925EF3"/>
    <w:rsid w:val="0093353B"/>
    <w:rsid w:val="009525AD"/>
    <w:rsid w:val="009736F4"/>
    <w:rsid w:val="0097551C"/>
    <w:rsid w:val="00980074"/>
    <w:rsid w:val="009D05E2"/>
    <w:rsid w:val="009D5CD3"/>
    <w:rsid w:val="009F1CA4"/>
    <w:rsid w:val="009F7207"/>
    <w:rsid w:val="00A138CB"/>
    <w:rsid w:val="00A31201"/>
    <w:rsid w:val="00A34025"/>
    <w:rsid w:val="00A3453C"/>
    <w:rsid w:val="00A46B7C"/>
    <w:rsid w:val="00A570FB"/>
    <w:rsid w:val="00A73DFB"/>
    <w:rsid w:val="00A76007"/>
    <w:rsid w:val="00A77D85"/>
    <w:rsid w:val="00A83B89"/>
    <w:rsid w:val="00AD689F"/>
    <w:rsid w:val="00AE5027"/>
    <w:rsid w:val="00B16DA1"/>
    <w:rsid w:val="00B329BC"/>
    <w:rsid w:val="00B40C12"/>
    <w:rsid w:val="00B5367C"/>
    <w:rsid w:val="00B5526D"/>
    <w:rsid w:val="00B6687F"/>
    <w:rsid w:val="00B711C2"/>
    <w:rsid w:val="00B725C0"/>
    <w:rsid w:val="00B7633C"/>
    <w:rsid w:val="00B803C6"/>
    <w:rsid w:val="00B90539"/>
    <w:rsid w:val="00B9788A"/>
    <w:rsid w:val="00BA0DBF"/>
    <w:rsid w:val="00BA191F"/>
    <w:rsid w:val="00BC1247"/>
    <w:rsid w:val="00BD51FF"/>
    <w:rsid w:val="00BD6A83"/>
    <w:rsid w:val="00BF47A7"/>
    <w:rsid w:val="00C00FFE"/>
    <w:rsid w:val="00C20097"/>
    <w:rsid w:val="00C22DFC"/>
    <w:rsid w:val="00C235C4"/>
    <w:rsid w:val="00C237E1"/>
    <w:rsid w:val="00C30ED8"/>
    <w:rsid w:val="00C467E9"/>
    <w:rsid w:val="00C52204"/>
    <w:rsid w:val="00C60D9C"/>
    <w:rsid w:val="00C64EAE"/>
    <w:rsid w:val="00C81849"/>
    <w:rsid w:val="00C84DC0"/>
    <w:rsid w:val="00C8695F"/>
    <w:rsid w:val="00C90F54"/>
    <w:rsid w:val="00C9331B"/>
    <w:rsid w:val="00C94794"/>
    <w:rsid w:val="00CA5E1C"/>
    <w:rsid w:val="00CB798F"/>
    <w:rsid w:val="00CD2712"/>
    <w:rsid w:val="00D00E77"/>
    <w:rsid w:val="00D0785A"/>
    <w:rsid w:val="00D202B9"/>
    <w:rsid w:val="00D216F1"/>
    <w:rsid w:val="00D22F4B"/>
    <w:rsid w:val="00D36030"/>
    <w:rsid w:val="00D41DF4"/>
    <w:rsid w:val="00D45567"/>
    <w:rsid w:val="00D51FBA"/>
    <w:rsid w:val="00D559E9"/>
    <w:rsid w:val="00D61860"/>
    <w:rsid w:val="00D84037"/>
    <w:rsid w:val="00D96EAA"/>
    <w:rsid w:val="00DA3A02"/>
    <w:rsid w:val="00DC14D1"/>
    <w:rsid w:val="00DC58B2"/>
    <w:rsid w:val="00DD5060"/>
    <w:rsid w:val="00DD72EC"/>
    <w:rsid w:val="00DE424D"/>
    <w:rsid w:val="00DF28A0"/>
    <w:rsid w:val="00E17D0E"/>
    <w:rsid w:val="00E25C7C"/>
    <w:rsid w:val="00E31C28"/>
    <w:rsid w:val="00E45CFB"/>
    <w:rsid w:val="00E4784E"/>
    <w:rsid w:val="00E53355"/>
    <w:rsid w:val="00E83AA6"/>
    <w:rsid w:val="00E95262"/>
    <w:rsid w:val="00EA2AAD"/>
    <w:rsid w:val="00EF4837"/>
    <w:rsid w:val="00EF53AC"/>
    <w:rsid w:val="00F04BE5"/>
    <w:rsid w:val="00F103AB"/>
    <w:rsid w:val="00F15167"/>
    <w:rsid w:val="00F17CEE"/>
    <w:rsid w:val="00F23D48"/>
    <w:rsid w:val="00F43978"/>
    <w:rsid w:val="00F57594"/>
    <w:rsid w:val="00F831BD"/>
    <w:rsid w:val="00F87A36"/>
    <w:rsid w:val="00FA28FF"/>
    <w:rsid w:val="00FD742F"/>
    <w:rsid w:val="00FF2845"/>
    <w:rsid w:val="00FF2E0B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FC14235B-EECE-44DB-96A2-891348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2865865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70DBC2-FEC9-4098-BDA9-765C2610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2014-09-23T15:34:00Z</cp:lastPrinted>
  <dcterms:created xsi:type="dcterms:W3CDTF">2019-04-08T18:22:00Z</dcterms:created>
  <dcterms:modified xsi:type="dcterms:W3CDTF">2019-04-08T18:22:00Z</dcterms:modified>
</cp:coreProperties>
</file>