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B5C" w14:textId="46400DD4" w:rsidR="00615CAD" w:rsidRPr="00615CAD" w:rsidRDefault="001D2DE7" w:rsidP="00615CAD">
      <w:pPr>
        <w:pStyle w:val="Logo"/>
      </w:pPr>
      <w:r>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8">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2DEFEBB8" w:rsidR="00615CAD" w:rsidRPr="00B725C0" w:rsidRDefault="00B725C0" w:rsidP="001D2DE7">
      <w:pPr>
        <w:pStyle w:val="Heading1"/>
        <w:ind w:left="1440"/>
      </w:pPr>
      <w:r>
        <w:br/>
        <w:t xml:space="preserve">Quick Review of </w:t>
      </w:r>
      <w:r>
        <w:br/>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9"/>
          <w:footerReference w:type="default" r:id="rId10"/>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0FC64788" w14:textId="2D8C1E87" w:rsidR="00254C38" w:rsidRDefault="00D0785A" w:rsidP="00D0785A">
      <w:pPr>
        <w:pStyle w:val="Heading3"/>
        <w:spacing w:before="360"/>
        <w:jc w:val="center"/>
        <w:rPr>
          <w:rFonts w:ascii="Arial" w:hAnsi="Arial"/>
          <w:color w:val="CA602C"/>
          <w:sz w:val="28"/>
          <w:szCs w:val="32"/>
        </w:rPr>
      </w:pPr>
      <w:r>
        <w:rPr>
          <w:rFonts w:ascii="Arial" w:hAnsi="Arial"/>
          <w:color w:val="CA602C"/>
          <w:sz w:val="28"/>
          <w:szCs w:val="32"/>
        </w:rPr>
        <w:t>Early Factors That Predict Life Satisfaction 10 Years After Moderate to Severe Traumatic Brain Injury</w:t>
      </w:r>
    </w:p>
    <w:p w14:paraId="52E59DE8" w14:textId="44B2EC78" w:rsidR="00615CAD" w:rsidRPr="00254C38" w:rsidRDefault="00615CAD" w:rsidP="001D7C57">
      <w:pPr>
        <w:pStyle w:val="Heading3"/>
        <w:spacing w:before="0" w:line="360" w:lineRule="auto"/>
        <w:ind w:left="0"/>
        <w:rPr>
          <w:rFonts w:ascii="Arial" w:hAnsi="Arial"/>
          <w:color w:val="CA602C"/>
          <w:sz w:val="28"/>
          <w:szCs w:val="28"/>
        </w:rPr>
      </w:pPr>
      <w:r>
        <w:t>What is the study about?</w:t>
      </w:r>
    </w:p>
    <w:p w14:paraId="02F75012" w14:textId="4AF90111" w:rsidR="00C260E8" w:rsidRDefault="00C260E8" w:rsidP="001D7C57">
      <w:pPr>
        <w:pStyle w:val="Background"/>
        <w:spacing w:before="0" w:after="0" w:line="360" w:lineRule="auto"/>
        <w:jc w:val="left"/>
      </w:pPr>
      <w:r w:rsidRPr="00C260E8">
        <w:t>This study examined whether early factors after a traumatic brain injury (TBI)—a disruption in brain function caused by a blow or jolt to the head—can predict life satisfaction 10 years later. Specifically, it asked whether functioning at 1 year after a moderate to severe TBI can identify who will be highly satisfied or dissatisfied with life a decade later.</w:t>
      </w:r>
    </w:p>
    <w:p w14:paraId="2C7EFF17" w14:textId="77777777" w:rsidR="00CB4C5B" w:rsidRPr="00FA28FF" w:rsidRDefault="00CB4C5B" w:rsidP="00F66222">
      <w:pPr>
        <w:pStyle w:val="Heading3"/>
        <w:spacing w:before="120" w:line="360" w:lineRule="auto"/>
        <w:ind w:left="0"/>
      </w:pPr>
      <w:r>
        <w:t>What did the study find?</w:t>
      </w:r>
    </w:p>
    <w:p w14:paraId="161C0C0C" w14:textId="0B827EBB" w:rsidR="00B7351F" w:rsidRDefault="002F6452" w:rsidP="001D7C57">
      <w:pPr>
        <w:pStyle w:val="Background"/>
        <w:spacing w:before="0" w:after="0" w:line="360" w:lineRule="auto"/>
        <w:jc w:val="left"/>
      </w:pPr>
      <w:r w:rsidRPr="002F6452">
        <w:t>People who had greater independence thinking and moving</w:t>
      </w:r>
      <w:r w:rsidR="00B7351F" w:rsidRPr="00B7351F">
        <w:t xml:space="preserve">, more community participation, and fewer depression symptoms at 1 year post-injury strongly predicted very high life satisfaction at 10 years. Each 1-point increase in depression raised the odds of very low satisfaction by 11%. More activity outside the home and productive roles (e.g., work, volunteering) also increased the likelihood of high satisfaction. Additionally, Non-Hispanic White and Hispanic individuals were more likely than Non-Hispanic Black individuals to report high life satisfaction, likely reflecting </w:t>
      </w:r>
      <w:r w:rsidR="005F120F">
        <w:t>unequal access to resources and services.</w:t>
      </w:r>
    </w:p>
    <w:p w14:paraId="4D088AA8" w14:textId="0ED065F8" w:rsidR="00615CAD" w:rsidRPr="000B1BE7" w:rsidRDefault="00615CAD" w:rsidP="00F66222">
      <w:pPr>
        <w:pStyle w:val="Heading3"/>
        <w:spacing w:before="120" w:line="360" w:lineRule="auto"/>
        <w:ind w:left="0"/>
      </w:pPr>
      <w:r>
        <w:t>Who participated in the study?</w:t>
      </w:r>
    </w:p>
    <w:p w14:paraId="53350262" w14:textId="70A0C15B" w:rsidR="00B7351F" w:rsidRDefault="00B7351F" w:rsidP="001D7C57">
      <w:pPr>
        <w:pStyle w:val="Background"/>
        <w:spacing w:before="0" w:after="0" w:line="360" w:lineRule="auto"/>
        <w:jc w:val="left"/>
      </w:pPr>
      <w:r w:rsidRPr="00B7351F">
        <w:t>The study used data from 3,040 people in the TBI Model Systems National Database, which tracks individuals with TBI across the U.S. Participants were 16+ with moderate to severe TBI, treated within 72 hours, received inpatient rehab, and completed a 10-year follow-up. About 64% reported very high life satisfaction and 36% very low; most were male (72%), non-Hispanic White (72%), with an average injury age of 35.</w:t>
      </w:r>
    </w:p>
    <w:p w14:paraId="5A791BB4" w14:textId="4F79041E" w:rsidR="00615CAD" w:rsidRPr="00FA28FF" w:rsidRDefault="00615CAD" w:rsidP="00F66222">
      <w:pPr>
        <w:pStyle w:val="Heading3"/>
        <w:spacing w:before="120" w:line="360" w:lineRule="auto"/>
        <w:ind w:left="0"/>
      </w:pPr>
      <w:r>
        <w:t>How was the study conducted?</w:t>
      </w:r>
    </w:p>
    <w:p w14:paraId="056AA9D6" w14:textId="3E60F57F" w:rsidR="005A4112" w:rsidRDefault="005A4112" w:rsidP="001D7C57">
      <w:pPr>
        <w:pStyle w:val="Background"/>
        <w:spacing w:before="0" w:after="0" w:line="360" w:lineRule="auto"/>
        <w:jc w:val="left"/>
      </w:pPr>
      <w:r w:rsidRPr="005A4112">
        <w:t>The researchers used “extreme phenotyping,” comparing only people with very high vs. very low life satisfaction 10 years after TBI to identify clear patterns. This observational study analyzed existing data from 22 U.S. rehab centers in the TBIMS program. Injury details were collected during hospitalization, with 1-year follow-up interviews assessing function (FIM), depression (PHQ-9), and community participation (PART-O). At 10 years, life satisfaction was measured using the 5-item Satisfaction With Life Scale (SWLS), and participants were grouped into very high (26–35) or very low (5–14) satisfaction to determine which 1-year factors predicted outcomes.</w:t>
      </w:r>
    </w:p>
    <w:p w14:paraId="7403FEC6" w14:textId="77777777" w:rsidR="00CB4C5B" w:rsidRDefault="00CB4C5B" w:rsidP="00F66222">
      <w:pPr>
        <w:pStyle w:val="Heading3"/>
        <w:spacing w:before="120" w:line="360" w:lineRule="auto"/>
        <w:ind w:left="0"/>
      </w:pPr>
      <w:r>
        <w:t>How can people use the results?</w:t>
      </w:r>
    </w:p>
    <w:p w14:paraId="7403FEC7" w14:textId="2580BDB8" w:rsidR="00CB4C5B" w:rsidRDefault="00CB4C5B" w:rsidP="001D7C57">
      <w:pPr>
        <w:pStyle w:val="Background"/>
        <w:spacing w:before="0" w:after="0" w:line="360" w:lineRule="auto"/>
        <w:jc w:val="left"/>
      </w:pPr>
      <w:r w:rsidRPr="42F0A0E4">
        <w:rPr>
          <w:b/>
          <w:bCs/>
        </w:rPr>
        <w:t xml:space="preserve">TBI </w:t>
      </w:r>
      <w:r w:rsidR="00E0171A" w:rsidRPr="42F0A0E4">
        <w:rPr>
          <w:b/>
          <w:bCs/>
        </w:rPr>
        <w:t>S</w:t>
      </w:r>
      <w:r w:rsidRPr="42F0A0E4">
        <w:rPr>
          <w:b/>
          <w:bCs/>
        </w:rPr>
        <w:t xml:space="preserve">urvivors and </w:t>
      </w:r>
      <w:r w:rsidR="00E0171A" w:rsidRPr="42F0A0E4">
        <w:rPr>
          <w:b/>
          <w:bCs/>
        </w:rPr>
        <w:t>F</w:t>
      </w:r>
      <w:r w:rsidRPr="42F0A0E4">
        <w:rPr>
          <w:b/>
          <w:bCs/>
        </w:rPr>
        <w:t>amilies</w:t>
      </w:r>
      <w:r>
        <w:t xml:space="preserve">: </w:t>
      </w:r>
      <w:r w:rsidR="00CD0C64" w:rsidRPr="00CD0C64">
        <w:t>Staying active and engaged in daily and community activities by 1 year after TBI can improve long-term life satisfaction. Addressing depression early is also important for better outcomes.</w:t>
      </w:r>
      <w:r w:rsidR="00CD0C64">
        <w:t xml:space="preserve"> </w:t>
      </w:r>
      <w:r>
        <w:t>If you or your loved one is struggling with depression after TBI, talk to a doctor or mental health provider..</w:t>
      </w:r>
    </w:p>
    <w:p w14:paraId="7403FEC8" w14:textId="38E38B80" w:rsidR="00CB4C5B" w:rsidRDefault="00CB4C5B" w:rsidP="00F66222">
      <w:pPr>
        <w:pStyle w:val="Background"/>
        <w:spacing w:before="120" w:after="0" w:line="360" w:lineRule="auto"/>
        <w:jc w:val="left"/>
      </w:pPr>
      <w:r w:rsidRPr="42F0A0E4">
        <w:rPr>
          <w:b/>
          <w:bCs/>
        </w:rPr>
        <w:t xml:space="preserve">Clinicians and </w:t>
      </w:r>
      <w:r w:rsidR="00E0171A" w:rsidRPr="42F0A0E4">
        <w:rPr>
          <w:b/>
          <w:bCs/>
        </w:rPr>
        <w:t>R</w:t>
      </w:r>
      <w:r w:rsidRPr="42F0A0E4">
        <w:rPr>
          <w:b/>
          <w:bCs/>
        </w:rPr>
        <w:t xml:space="preserve">ehabilitation </w:t>
      </w:r>
      <w:r w:rsidR="00E0171A" w:rsidRPr="42F0A0E4">
        <w:rPr>
          <w:b/>
          <w:bCs/>
        </w:rPr>
        <w:t>P</w:t>
      </w:r>
      <w:r w:rsidRPr="42F0A0E4">
        <w:rPr>
          <w:b/>
          <w:bCs/>
        </w:rPr>
        <w:t>rofessionals</w:t>
      </w:r>
      <w:r>
        <w:t>: Screen patients for cognitive and physical function, community participation</w:t>
      </w:r>
      <w:r w:rsidR="001E388B">
        <w:t>, and depression</w:t>
      </w:r>
      <w:r>
        <w:t xml:space="preserve"> during the first year after TBI — not just at the time of injury. Connecting patients early with vocational rehabilitation (help returning to work), community programs, and mental health treatment may improve their quality of life 10 or more years down the road. </w:t>
      </w:r>
    </w:p>
    <w:p w14:paraId="5D509198" w14:textId="1541C7E0" w:rsidR="00827A47" w:rsidRDefault="00CB4C5B" w:rsidP="00F66222">
      <w:pPr>
        <w:pStyle w:val="Background"/>
        <w:spacing w:before="120" w:after="0" w:line="360" w:lineRule="auto"/>
        <w:jc w:val="left"/>
      </w:pPr>
      <w:r w:rsidRPr="42F0A0E4">
        <w:rPr>
          <w:b/>
          <w:bCs/>
        </w:rPr>
        <w:t>Researchers</w:t>
      </w:r>
      <w:r>
        <w:t xml:space="preserve">: Future studies should examine whether </w:t>
      </w:r>
      <w:r w:rsidR="00CD0C64" w:rsidRPr="00CD0C64">
        <w:t>early treatments targeting cognition, physical function, and depression improve outcomes</w:t>
      </w:r>
      <w:r w:rsidR="00CD0C64">
        <w:t xml:space="preserve">. They should </w:t>
      </w:r>
      <w:r w:rsidR="00CD0C64" w:rsidRPr="00CD0C64">
        <w:t xml:space="preserve">also examine </w:t>
      </w:r>
      <w:r w:rsidR="00CD0C64">
        <w:t xml:space="preserve">the </w:t>
      </w:r>
      <w:r w:rsidR="00CD0C64" w:rsidRPr="00CD0C64">
        <w:t>causes of racial disparities in life satisfaction.</w:t>
      </w:r>
    </w:p>
    <w:p w14:paraId="7403FECA" w14:textId="179D88E3" w:rsidR="00CB4C5B" w:rsidRDefault="00CB4C5B" w:rsidP="00F66222">
      <w:pPr>
        <w:pStyle w:val="Background"/>
        <w:spacing w:before="120" w:after="0" w:line="360" w:lineRule="auto"/>
        <w:jc w:val="left"/>
      </w:pPr>
      <w:r w:rsidRPr="42F0A0E4">
        <w:rPr>
          <w:b/>
          <w:bCs/>
        </w:rPr>
        <w:t xml:space="preserve">Policy </w:t>
      </w:r>
      <w:r w:rsidR="001E388B" w:rsidRPr="42F0A0E4">
        <w:rPr>
          <w:b/>
          <w:bCs/>
        </w:rPr>
        <w:t>M</w:t>
      </w:r>
      <w:r w:rsidRPr="42F0A0E4">
        <w:rPr>
          <w:b/>
          <w:bCs/>
        </w:rPr>
        <w:t xml:space="preserve">akers and </w:t>
      </w:r>
      <w:r w:rsidR="001E388B" w:rsidRPr="42F0A0E4">
        <w:rPr>
          <w:b/>
          <w:bCs/>
        </w:rPr>
        <w:t>H</w:t>
      </w:r>
      <w:r w:rsidRPr="42F0A0E4">
        <w:rPr>
          <w:b/>
          <w:bCs/>
        </w:rPr>
        <w:t>ealth</w:t>
      </w:r>
      <w:r w:rsidR="001E388B" w:rsidRPr="42F0A0E4">
        <w:rPr>
          <w:b/>
          <w:bCs/>
        </w:rPr>
        <w:t>care</w:t>
      </w:r>
      <w:r w:rsidRPr="42F0A0E4">
        <w:rPr>
          <w:b/>
          <w:bCs/>
        </w:rPr>
        <w:t xml:space="preserve"> </w:t>
      </w:r>
      <w:r w:rsidR="001E388B" w:rsidRPr="42F0A0E4">
        <w:rPr>
          <w:b/>
          <w:bCs/>
        </w:rPr>
        <w:t>S</w:t>
      </w:r>
      <w:r w:rsidRPr="42F0A0E4">
        <w:rPr>
          <w:b/>
          <w:bCs/>
        </w:rPr>
        <w:t>ystems</w:t>
      </w:r>
      <w:r>
        <w:t xml:space="preserve">: </w:t>
      </w:r>
      <w:r w:rsidR="00827A47" w:rsidRPr="00827A47">
        <w:t>Treat TBI as a long-term</w:t>
      </w:r>
      <w:r w:rsidR="00827A47">
        <w:t>, chronic</w:t>
      </w:r>
      <w:r w:rsidR="00827A47" w:rsidRPr="00827A47">
        <w:t xml:space="preserve"> condition. Expanding access to rehab, community services, and mental health care—and reducing inequities—may improve long-term outcomes.</w:t>
      </w:r>
    </w:p>
    <w:p w14:paraId="1F9A7C58" w14:textId="7A3DDA74" w:rsidR="00CB4C5B" w:rsidRDefault="007072FC" w:rsidP="001D7C57">
      <w:pPr>
        <w:pStyle w:val="Heading3"/>
        <w:spacing w:before="0" w:line="360" w:lineRule="auto"/>
        <w:ind w:left="0"/>
      </w:pPr>
      <w:r>
        <w:lastRenderedPageBreak/>
        <w:t>Reference</w:t>
      </w:r>
    </w:p>
    <w:p w14:paraId="1F9A7C59" w14:textId="7A3DDA75" w:rsidR="007072FC" w:rsidRDefault="007072FC" w:rsidP="001D7C57">
      <w:pPr>
        <w:pStyle w:val="Background"/>
        <w:spacing w:before="0" w:after="0" w:line="360" w:lineRule="auto"/>
        <w:jc w:val="left"/>
      </w:pPr>
      <w:r>
        <w:t xml:space="preserve">O’Neil-Pirozzi, T. M., Sevigny, M., Pinto, S. M., Hammond, F. M., &amp; Juengst, S. B. (2023). Early factors predictive of extreme high and low life satisfaction 10 years post–moderate to severe traumatic brain injury. </w:t>
      </w:r>
      <w:r>
        <w:rPr>
          <w:i/>
        </w:rPr>
        <w:t>Journal of Head Trauma Rehabilitation</w:t>
      </w:r>
      <w:r>
        <w:t>. https://doi.org/10.1097/HTR.0000000000000860</w:t>
      </w:r>
    </w:p>
    <w:p w14:paraId="3D46F7D7" w14:textId="3A591ABF" w:rsidR="00CB4C5B" w:rsidRPr="00317B84" w:rsidRDefault="007072FC" w:rsidP="00F66222">
      <w:pPr>
        <w:pStyle w:val="Heading3"/>
        <w:spacing w:before="0" w:line="360" w:lineRule="auto"/>
        <w:ind w:left="0"/>
      </w:pPr>
      <w:r>
        <w:t>Disclaimer</w:t>
      </w:r>
    </w:p>
    <w:p w14:paraId="3803A587" w14:textId="77777777" w:rsidR="00412620" w:rsidRDefault="004C59F0" w:rsidP="001D7C57">
      <w:pPr>
        <w:pStyle w:val="Background"/>
        <w:spacing w:before="0" w:after="0" w:line="360" w:lineRule="auto"/>
        <w:jc w:val="left"/>
      </w:pPr>
      <w:r>
        <w:rPr>
          <w:color w:val="000000" w:themeColor="text1"/>
        </w:rPr>
        <w:t>The contents of this quick review were developed under a grant from the National Institute on Disability, Independent Living, and Rehabilitation Research (NIDILRR grant number 90DPKT0009). NIDILRR is a Center within the Administration for Community Living (ACL), Department of Health and Human Services (HHS). The contents of this quick review do not necessarily represent the policy of NIDILRR, ACL, HHS, and you should not assume endorsement by the Federal Government.</w:t>
      </w:r>
      <w:r w:rsidR="00412620" w:rsidRPr="00412620">
        <w:t xml:space="preserve"> </w:t>
      </w:r>
    </w:p>
    <w:p w14:paraId="24C48D31" w14:textId="77777777" w:rsidR="00412620" w:rsidRDefault="00412620" w:rsidP="001D7C57">
      <w:pPr>
        <w:pStyle w:val="Background"/>
        <w:spacing w:before="0" w:after="0" w:line="360" w:lineRule="auto"/>
        <w:jc w:val="left"/>
      </w:pPr>
    </w:p>
    <w:p w14:paraId="080EC9ED" w14:textId="7EF1FEAF" w:rsidR="004C59F0" w:rsidRDefault="00412620" w:rsidP="001D7C57">
      <w:pPr>
        <w:pStyle w:val="Background"/>
        <w:spacing w:before="0" w:after="0" w:line="360" w:lineRule="auto"/>
        <w:jc w:val="left"/>
      </w:pPr>
      <w:r w:rsidRPr="00412620">
        <w:rPr>
          <w:color w:val="000000" w:themeColor="text1"/>
        </w:rPr>
        <w:t>The content of this Quick Review was generated and edited using Claude and Microsoft Co-Pilot and was carefully reviewed and edited by experts to ensure accuracy.</w:t>
      </w:r>
    </w:p>
    <w:p w14:paraId="18917B42" w14:textId="77777777" w:rsidR="004C59F0" w:rsidRDefault="004C59F0" w:rsidP="001D7C57">
      <w:pPr>
        <w:spacing w:before="0" w:after="0" w:line="360" w:lineRule="auto"/>
      </w:pPr>
    </w:p>
    <w:p w14:paraId="4E287EDB" w14:textId="77777777" w:rsidR="00412620" w:rsidRPr="004C59F0" w:rsidRDefault="00412620" w:rsidP="001D7C57">
      <w:pPr>
        <w:spacing w:before="0" w:after="0" w:line="360" w:lineRule="auto"/>
      </w:pPr>
    </w:p>
    <w:p w14:paraId="46EA7D9A" w14:textId="77777777" w:rsidR="004C59F0" w:rsidRPr="004C59F0" w:rsidRDefault="004C59F0" w:rsidP="001D7C57">
      <w:pPr>
        <w:spacing w:before="0" w:after="0" w:line="360" w:lineRule="auto"/>
      </w:pPr>
    </w:p>
    <w:p w14:paraId="5B46F4A4" w14:textId="77777777" w:rsidR="004C59F0" w:rsidRPr="004C59F0" w:rsidRDefault="004C59F0" w:rsidP="001D7C57">
      <w:pPr>
        <w:spacing w:before="0" w:after="0" w:line="360" w:lineRule="auto"/>
      </w:pPr>
    </w:p>
    <w:p w14:paraId="68F2E363" w14:textId="77777777" w:rsidR="00615CAD" w:rsidRPr="004C59F0" w:rsidRDefault="00615CAD" w:rsidP="001D7C57">
      <w:pPr>
        <w:spacing w:before="0" w:after="0" w:line="360" w:lineRule="auto"/>
      </w:pPr>
    </w:p>
    <w:sectPr w:rsidR="00615CAD" w:rsidRPr="004C59F0"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9369" w14:textId="77777777" w:rsidR="00D22A89" w:rsidRDefault="00D22A89">
      <w:pPr>
        <w:spacing w:before="0" w:after="0" w:line="240" w:lineRule="auto"/>
      </w:pPr>
      <w:r>
        <w:separator/>
      </w:r>
    </w:p>
  </w:endnote>
  <w:endnote w:type="continuationSeparator" w:id="0">
    <w:p w14:paraId="51028067" w14:textId="77777777" w:rsidR="00D22A89" w:rsidRDefault="00D22A89">
      <w:pPr>
        <w:spacing w:before="0" w:after="0" w:line="240" w:lineRule="auto"/>
      </w:pPr>
      <w:r>
        <w:continuationSeparator/>
      </w:r>
    </w:p>
  </w:endnote>
  <w:endnote w:type="continuationNotice" w:id="1">
    <w:p w14:paraId="1D1C5E75" w14:textId="77777777" w:rsidR="00D22A89" w:rsidRDefault="00D22A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7769" w14:textId="77777777" w:rsidR="00D22A89" w:rsidRPr="006C7FDE" w:rsidRDefault="00D22A89" w:rsidP="006C7FDE">
      <w:pPr>
        <w:pStyle w:val="Footer"/>
      </w:pPr>
    </w:p>
  </w:footnote>
  <w:footnote w:type="continuationSeparator" w:id="0">
    <w:p w14:paraId="1142294E" w14:textId="77777777" w:rsidR="00D22A89" w:rsidRPr="006C7FDE" w:rsidRDefault="00D22A89" w:rsidP="006C7FDE">
      <w:pPr>
        <w:pStyle w:val="Footer"/>
      </w:pPr>
    </w:p>
  </w:footnote>
  <w:footnote w:type="continuationNotice" w:id="1">
    <w:p w14:paraId="0DB4C7F4" w14:textId="77777777" w:rsidR="00D22A89" w:rsidRDefault="00D22A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19"/>
    <w:multiLevelType w:val="hybridMultilevel"/>
    <w:tmpl w:val="342E0F6A"/>
    <w:lvl w:ilvl="0" w:tplc="933610EA">
      <w:start w:val="1"/>
      <w:numFmt w:val="bullet"/>
      <w:lvlText w:val=""/>
      <w:lvlJc w:val="left"/>
      <w:pPr>
        <w:ind w:left="720" w:hanging="360"/>
      </w:pPr>
      <w:rPr>
        <w:rFonts w:ascii="Symbol" w:hAnsi="Symbol"/>
      </w:rPr>
    </w:lvl>
    <w:lvl w:ilvl="1" w:tplc="2BDAC74A">
      <w:start w:val="1"/>
      <w:numFmt w:val="bullet"/>
      <w:lvlText w:val=""/>
      <w:lvlJc w:val="left"/>
      <w:pPr>
        <w:ind w:left="720" w:hanging="360"/>
      </w:pPr>
      <w:rPr>
        <w:rFonts w:ascii="Symbol" w:hAnsi="Symbol"/>
      </w:rPr>
    </w:lvl>
    <w:lvl w:ilvl="2" w:tplc="01567FD0">
      <w:start w:val="1"/>
      <w:numFmt w:val="bullet"/>
      <w:lvlText w:val=""/>
      <w:lvlJc w:val="left"/>
      <w:pPr>
        <w:ind w:left="720" w:hanging="360"/>
      </w:pPr>
      <w:rPr>
        <w:rFonts w:ascii="Symbol" w:hAnsi="Symbol"/>
      </w:rPr>
    </w:lvl>
    <w:lvl w:ilvl="3" w:tplc="CFAE0404">
      <w:start w:val="1"/>
      <w:numFmt w:val="bullet"/>
      <w:lvlText w:val=""/>
      <w:lvlJc w:val="left"/>
      <w:pPr>
        <w:ind w:left="720" w:hanging="360"/>
      </w:pPr>
      <w:rPr>
        <w:rFonts w:ascii="Symbol" w:hAnsi="Symbol"/>
      </w:rPr>
    </w:lvl>
    <w:lvl w:ilvl="4" w:tplc="8E3038A2">
      <w:start w:val="1"/>
      <w:numFmt w:val="bullet"/>
      <w:lvlText w:val=""/>
      <w:lvlJc w:val="left"/>
      <w:pPr>
        <w:ind w:left="720" w:hanging="360"/>
      </w:pPr>
      <w:rPr>
        <w:rFonts w:ascii="Symbol" w:hAnsi="Symbol"/>
      </w:rPr>
    </w:lvl>
    <w:lvl w:ilvl="5" w:tplc="EFD0BE5A">
      <w:start w:val="1"/>
      <w:numFmt w:val="bullet"/>
      <w:lvlText w:val=""/>
      <w:lvlJc w:val="left"/>
      <w:pPr>
        <w:ind w:left="720" w:hanging="360"/>
      </w:pPr>
      <w:rPr>
        <w:rFonts w:ascii="Symbol" w:hAnsi="Symbol"/>
      </w:rPr>
    </w:lvl>
    <w:lvl w:ilvl="6" w:tplc="25A0B25E">
      <w:start w:val="1"/>
      <w:numFmt w:val="bullet"/>
      <w:lvlText w:val=""/>
      <w:lvlJc w:val="left"/>
      <w:pPr>
        <w:ind w:left="720" w:hanging="360"/>
      </w:pPr>
      <w:rPr>
        <w:rFonts w:ascii="Symbol" w:hAnsi="Symbol"/>
      </w:rPr>
    </w:lvl>
    <w:lvl w:ilvl="7" w:tplc="71F2DD0C">
      <w:start w:val="1"/>
      <w:numFmt w:val="bullet"/>
      <w:lvlText w:val=""/>
      <w:lvlJc w:val="left"/>
      <w:pPr>
        <w:ind w:left="720" w:hanging="360"/>
      </w:pPr>
      <w:rPr>
        <w:rFonts w:ascii="Symbol" w:hAnsi="Symbol"/>
      </w:rPr>
    </w:lvl>
    <w:lvl w:ilvl="8" w:tplc="AADE7102">
      <w:start w:val="1"/>
      <w:numFmt w:val="bullet"/>
      <w:lvlText w:val=""/>
      <w:lvlJc w:val="left"/>
      <w:pPr>
        <w:ind w:left="720" w:hanging="360"/>
      </w:pPr>
      <w:rPr>
        <w:rFonts w:ascii="Symbol" w:hAnsi="Symbol"/>
      </w:rPr>
    </w:lvl>
  </w:abstractNum>
  <w:abstractNum w:abstractNumId="1" w15:restartNumberingAfterBreak="0">
    <w:nsid w:val="224B55DF"/>
    <w:multiLevelType w:val="hybridMultilevel"/>
    <w:tmpl w:val="453C9E94"/>
    <w:lvl w:ilvl="0" w:tplc="1C043076">
      <w:start w:val="1"/>
      <w:numFmt w:val="bullet"/>
      <w:lvlText w:val=""/>
      <w:lvlJc w:val="left"/>
      <w:pPr>
        <w:ind w:left="720" w:hanging="360"/>
      </w:pPr>
      <w:rPr>
        <w:rFonts w:ascii="Symbol" w:hAnsi="Symbol"/>
      </w:rPr>
    </w:lvl>
    <w:lvl w:ilvl="1" w:tplc="6E6EF2D6">
      <w:start w:val="1"/>
      <w:numFmt w:val="bullet"/>
      <w:lvlText w:val=""/>
      <w:lvlJc w:val="left"/>
      <w:pPr>
        <w:ind w:left="720" w:hanging="360"/>
      </w:pPr>
      <w:rPr>
        <w:rFonts w:ascii="Symbol" w:hAnsi="Symbol"/>
      </w:rPr>
    </w:lvl>
    <w:lvl w:ilvl="2" w:tplc="9E2A24BA">
      <w:start w:val="1"/>
      <w:numFmt w:val="bullet"/>
      <w:lvlText w:val=""/>
      <w:lvlJc w:val="left"/>
      <w:pPr>
        <w:ind w:left="720" w:hanging="360"/>
      </w:pPr>
      <w:rPr>
        <w:rFonts w:ascii="Symbol" w:hAnsi="Symbol"/>
      </w:rPr>
    </w:lvl>
    <w:lvl w:ilvl="3" w:tplc="547205C8">
      <w:start w:val="1"/>
      <w:numFmt w:val="bullet"/>
      <w:lvlText w:val=""/>
      <w:lvlJc w:val="left"/>
      <w:pPr>
        <w:ind w:left="720" w:hanging="360"/>
      </w:pPr>
      <w:rPr>
        <w:rFonts w:ascii="Symbol" w:hAnsi="Symbol"/>
      </w:rPr>
    </w:lvl>
    <w:lvl w:ilvl="4" w:tplc="481494CA">
      <w:start w:val="1"/>
      <w:numFmt w:val="bullet"/>
      <w:lvlText w:val=""/>
      <w:lvlJc w:val="left"/>
      <w:pPr>
        <w:ind w:left="720" w:hanging="360"/>
      </w:pPr>
      <w:rPr>
        <w:rFonts w:ascii="Symbol" w:hAnsi="Symbol"/>
      </w:rPr>
    </w:lvl>
    <w:lvl w:ilvl="5" w:tplc="888CED36">
      <w:start w:val="1"/>
      <w:numFmt w:val="bullet"/>
      <w:lvlText w:val=""/>
      <w:lvlJc w:val="left"/>
      <w:pPr>
        <w:ind w:left="720" w:hanging="360"/>
      </w:pPr>
      <w:rPr>
        <w:rFonts w:ascii="Symbol" w:hAnsi="Symbol"/>
      </w:rPr>
    </w:lvl>
    <w:lvl w:ilvl="6" w:tplc="E9D8B880">
      <w:start w:val="1"/>
      <w:numFmt w:val="bullet"/>
      <w:lvlText w:val=""/>
      <w:lvlJc w:val="left"/>
      <w:pPr>
        <w:ind w:left="720" w:hanging="360"/>
      </w:pPr>
      <w:rPr>
        <w:rFonts w:ascii="Symbol" w:hAnsi="Symbol"/>
      </w:rPr>
    </w:lvl>
    <w:lvl w:ilvl="7" w:tplc="81D40312">
      <w:start w:val="1"/>
      <w:numFmt w:val="bullet"/>
      <w:lvlText w:val=""/>
      <w:lvlJc w:val="left"/>
      <w:pPr>
        <w:ind w:left="720" w:hanging="360"/>
      </w:pPr>
      <w:rPr>
        <w:rFonts w:ascii="Symbol" w:hAnsi="Symbol"/>
      </w:rPr>
    </w:lvl>
    <w:lvl w:ilvl="8" w:tplc="410245D0">
      <w:start w:val="1"/>
      <w:numFmt w:val="bullet"/>
      <w:lvlText w:val=""/>
      <w:lvlJc w:val="left"/>
      <w:pPr>
        <w:ind w:left="720" w:hanging="360"/>
      </w:pPr>
      <w:rPr>
        <w:rFonts w:ascii="Symbol" w:hAnsi="Symbol"/>
      </w:rPr>
    </w:lvl>
  </w:abstractNum>
  <w:abstractNum w:abstractNumId="2" w15:restartNumberingAfterBreak="0">
    <w:nsid w:val="282D0E4C"/>
    <w:multiLevelType w:val="hybridMultilevel"/>
    <w:tmpl w:val="6F1284CA"/>
    <w:lvl w:ilvl="0" w:tplc="DB5A8A12">
      <w:start w:val="1"/>
      <w:numFmt w:val="decimal"/>
      <w:lvlText w:val="%1."/>
      <w:lvlJc w:val="left"/>
      <w:pPr>
        <w:ind w:left="720" w:hanging="360"/>
      </w:pPr>
    </w:lvl>
    <w:lvl w:ilvl="1" w:tplc="5AC810E8">
      <w:start w:val="1"/>
      <w:numFmt w:val="decimal"/>
      <w:lvlText w:val="%2."/>
      <w:lvlJc w:val="left"/>
      <w:pPr>
        <w:ind w:left="720" w:hanging="360"/>
      </w:pPr>
    </w:lvl>
    <w:lvl w:ilvl="2" w:tplc="0570D77A">
      <w:start w:val="1"/>
      <w:numFmt w:val="decimal"/>
      <w:lvlText w:val="%3."/>
      <w:lvlJc w:val="left"/>
      <w:pPr>
        <w:ind w:left="720" w:hanging="360"/>
      </w:pPr>
    </w:lvl>
    <w:lvl w:ilvl="3" w:tplc="DDCA3CF6">
      <w:start w:val="1"/>
      <w:numFmt w:val="decimal"/>
      <w:lvlText w:val="%4."/>
      <w:lvlJc w:val="left"/>
      <w:pPr>
        <w:ind w:left="720" w:hanging="360"/>
      </w:pPr>
    </w:lvl>
    <w:lvl w:ilvl="4" w:tplc="1D6AE654">
      <w:start w:val="1"/>
      <w:numFmt w:val="decimal"/>
      <w:lvlText w:val="%5."/>
      <w:lvlJc w:val="left"/>
      <w:pPr>
        <w:ind w:left="720" w:hanging="360"/>
      </w:pPr>
    </w:lvl>
    <w:lvl w:ilvl="5" w:tplc="C6044146">
      <w:start w:val="1"/>
      <w:numFmt w:val="decimal"/>
      <w:lvlText w:val="%6."/>
      <w:lvlJc w:val="left"/>
      <w:pPr>
        <w:ind w:left="720" w:hanging="360"/>
      </w:pPr>
    </w:lvl>
    <w:lvl w:ilvl="6" w:tplc="94FE471C">
      <w:start w:val="1"/>
      <w:numFmt w:val="decimal"/>
      <w:lvlText w:val="%7."/>
      <w:lvlJc w:val="left"/>
      <w:pPr>
        <w:ind w:left="720" w:hanging="360"/>
      </w:pPr>
    </w:lvl>
    <w:lvl w:ilvl="7" w:tplc="7E0AB898">
      <w:start w:val="1"/>
      <w:numFmt w:val="decimal"/>
      <w:lvlText w:val="%8."/>
      <w:lvlJc w:val="left"/>
      <w:pPr>
        <w:ind w:left="720" w:hanging="360"/>
      </w:pPr>
    </w:lvl>
    <w:lvl w:ilvl="8" w:tplc="160ABF80">
      <w:start w:val="1"/>
      <w:numFmt w:val="decimal"/>
      <w:lvlText w:val="%9."/>
      <w:lvlJc w:val="left"/>
      <w:pPr>
        <w:ind w:left="720" w:hanging="360"/>
      </w:pPr>
    </w:lvl>
  </w:abstractNum>
  <w:abstractNum w:abstractNumId="3"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F2C15"/>
    <w:multiLevelType w:val="hybridMultilevel"/>
    <w:tmpl w:val="C9E4A496"/>
    <w:lvl w:ilvl="0" w:tplc="75F812A6">
      <w:start w:val="1"/>
      <w:numFmt w:val="decimal"/>
      <w:lvlText w:val="%1."/>
      <w:lvlJc w:val="left"/>
      <w:pPr>
        <w:ind w:left="720" w:hanging="360"/>
      </w:pPr>
    </w:lvl>
    <w:lvl w:ilvl="1" w:tplc="EA0A405E">
      <w:start w:val="1"/>
      <w:numFmt w:val="decimal"/>
      <w:lvlText w:val="%2."/>
      <w:lvlJc w:val="left"/>
      <w:pPr>
        <w:ind w:left="720" w:hanging="360"/>
      </w:pPr>
    </w:lvl>
    <w:lvl w:ilvl="2" w:tplc="B52A8652">
      <w:start w:val="1"/>
      <w:numFmt w:val="decimal"/>
      <w:lvlText w:val="%3."/>
      <w:lvlJc w:val="left"/>
      <w:pPr>
        <w:ind w:left="720" w:hanging="360"/>
      </w:pPr>
    </w:lvl>
    <w:lvl w:ilvl="3" w:tplc="7E2CE0B0">
      <w:start w:val="1"/>
      <w:numFmt w:val="decimal"/>
      <w:lvlText w:val="%4."/>
      <w:lvlJc w:val="left"/>
      <w:pPr>
        <w:ind w:left="720" w:hanging="360"/>
      </w:pPr>
    </w:lvl>
    <w:lvl w:ilvl="4" w:tplc="5AAAC8AA">
      <w:start w:val="1"/>
      <w:numFmt w:val="decimal"/>
      <w:lvlText w:val="%5."/>
      <w:lvlJc w:val="left"/>
      <w:pPr>
        <w:ind w:left="720" w:hanging="360"/>
      </w:pPr>
    </w:lvl>
    <w:lvl w:ilvl="5" w:tplc="A3187C92">
      <w:start w:val="1"/>
      <w:numFmt w:val="decimal"/>
      <w:lvlText w:val="%6."/>
      <w:lvlJc w:val="left"/>
      <w:pPr>
        <w:ind w:left="720" w:hanging="360"/>
      </w:pPr>
    </w:lvl>
    <w:lvl w:ilvl="6" w:tplc="819E158E">
      <w:start w:val="1"/>
      <w:numFmt w:val="decimal"/>
      <w:lvlText w:val="%7."/>
      <w:lvlJc w:val="left"/>
      <w:pPr>
        <w:ind w:left="720" w:hanging="360"/>
      </w:pPr>
    </w:lvl>
    <w:lvl w:ilvl="7" w:tplc="4DB819B2">
      <w:start w:val="1"/>
      <w:numFmt w:val="decimal"/>
      <w:lvlText w:val="%8."/>
      <w:lvlJc w:val="left"/>
      <w:pPr>
        <w:ind w:left="720" w:hanging="360"/>
      </w:pPr>
    </w:lvl>
    <w:lvl w:ilvl="8" w:tplc="0CA226BE">
      <w:start w:val="1"/>
      <w:numFmt w:val="decimal"/>
      <w:lvlText w:val="%9."/>
      <w:lvlJc w:val="left"/>
      <w:pPr>
        <w:ind w:left="720" w:hanging="360"/>
      </w:pPr>
    </w:lvl>
  </w:abstractNum>
  <w:abstractNum w:abstractNumId="5"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5E28"/>
    <w:multiLevelType w:val="hybridMultilevel"/>
    <w:tmpl w:val="02EA08A8"/>
    <w:lvl w:ilvl="0" w:tplc="987664D6">
      <w:start w:val="1"/>
      <w:numFmt w:val="decimal"/>
      <w:lvlText w:val="%1."/>
      <w:lvlJc w:val="left"/>
      <w:pPr>
        <w:ind w:left="720" w:hanging="360"/>
      </w:pPr>
    </w:lvl>
    <w:lvl w:ilvl="1" w:tplc="CCE4E374">
      <w:start w:val="1"/>
      <w:numFmt w:val="decimal"/>
      <w:lvlText w:val="%2."/>
      <w:lvlJc w:val="left"/>
      <w:pPr>
        <w:ind w:left="720" w:hanging="360"/>
      </w:pPr>
    </w:lvl>
    <w:lvl w:ilvl="2" w:tplc="5C9070DC">
      <w:start w:val="1"/>
      <w:numFmt w:val="decimal"/>
      <w:lvlText w:val="%3."/>
      <w:lvlJc w:val="left"/>
      <w:pPr>
        <w:ind w:left="720" w:hanging="360"/>
      </w:pPr>
    </w:lvl>
    <w:lvl w:ilvl="3" w:tplc="4754D6C0">
      <w:start w:val="1"/>
      <w:numFmt w:val="decimal"/>
      <w:lvlText w:val="%4."/>
      <w:lvlJc w:val="left"/>
      <w:pPr>
        <w:ind w:left="720" w:hanging="360"/>
      </w:pPr>
    </w:lvl>
    <w:lvl w:ilvl="4" w:tplc="FD1A9112">
      <w:start w:val="1"/>
      <w:numFmt w:val="decimal"/>
      <w:lvlText w:val="%5."/>
      <w:lvlJc w:val="left"/>
      <w:pPr>
        <w:ind w:left="720" w:hanging="360"/>
      </w:pPr>
    </w:lvl>
    <w:lvl w:ilvl="5" w:tplc="F26EEC74">
      <w:start w:val="1"/>
      <w:numFmt w:val="decimal"/>
      <w:lvlText w:val="%6."/>
      <w:lvlJc w:val="left"/>
      <w:pPr>
        <w:ind w:left="720" w:hanging="360"/>
      </w:pPr>
    </w:lvl>
    <w:lvl w:ilvl="6" w:tplc="D36EC358">
      <w:start w:val="1"/>
      <w:numFmt w:val="decimal"/>
      <w:lvlText w:val="%7."/>
      <w:lvlJc w:val="left"/>
      <w:pPr>
        <w:ind w:left="720" w:hanging="360"/>
      </w:pPr>
    </w:lvl>
    <w:lvl w:ilvl="7" w:tplc="8B34C62C">
      <w:start w:val="1"/>
      <w:numFmt w:val="decimal"/>
      <w:lvlText w:val="%8."/>
      <w:lvlJc w:val="left"/>
      <w:pPr>
        <w:ind w:left="720" w:hanging="360"/>
      </w:pPr>
    </w:lvl>
    <w:lvl w:ilvl="8" w:tplc="2D9E71A8">
      <w:start w:val="1"/>
      <w:numFmt w:val="decimal"/>
      <w:lvlText w:val="%9."/>
      <w:lvlJc w:val="left"/>
      <w:pPr>
        <w:ind w:left="720" w:hanging="360"/>
      </w:pPr>
    </w:lvl>
  </w:abstractNum>
  <w:abstractNum w:abstractNumId="7" w15:restartNumberingAfterBreak="0">
    <w:nsid w:val="625224F2"/>
    <w:multiLevelType w:val="hybridMultilevel"/>
    <w:tmpl w:val="1A708B6E"/>
    <w:lvl w:ilvl="0" w:tplc="8EF6D7FE">
      <w:start w:val="1"/>
      <w:numFmt w:val="decimal"/>
      <w:lvlText w:val="%1."/>
      <w:lvlJc w:val="left"/>
      <w:pPr>
        <w:ind w:left="720" w:hanging="360"/>
      </w:pPr>
    </w:lvl>
    <w:lvl w:ilvl="1" w:tplc="BDB210C8">
      <w:start w:val="1"/>
      <w:numFmt w:val="decimal"/>
      <w:lvlText w:val="%2."/>
      <w:lvlJc w:val="left"/>
      <w:pPr>
        <w:ind w:left="720" w:hanging="360"/>
      </w:pPr>
    </w:lvl>
    <w:lvl w:ilvl="2" w:tplc="315AB3D6">
      <w:start w:val="1"/>
      <w:numFmt w:val="decimal"/>
      <w:lvlText w:val="%3."/>
      <w:lvlJc w:val="left"/>
      <w:pPr>
        <w:ind w:left="720" w:hanging="360"/>
      </w:pPr>
    </w:lvl>
    <w:lvl w:ilvl="3" w:tplc="C390E51A">
      <w:start w:val="1"/>
      <w:numFmt w:val="decimal"/>
      <w:lvlText w:val="%4."/>
      <w:lvlJc w:val="left"/>
      <w:pPr>
        <w:ind w:left="720" w:hanging="360"/>
      </w:pPr>
    </w:lvl>
    <w:lvl w:ilvl="4" w:tplc="A08EF9B6">
      <w:start w:val="1"/>
      <w:numFmt w:val="decimal"/>
      <w:lvlText w:val="%5."/>
      <w:lvlJc w:val="left"/>
      <w:pPr>
        <w:ind w:left="720" w:hanging="360"/>
      </w:pPr>
    </w:lvl>
    <w:lvl w:ilvl="5" w:tplc="410E0496">
      <w:start w:val="1"/>
      <w:numFmt w:val="decimal"/>
      <w:lvlText w:val="%6."/>
      <w:lvlJc w:val="left"/>
      <w:pPr>
        <w:ind w:left="720" w:hanging="360"/>
      </w:pPr>
    </w:lvl>
    <w:lvl w:ilvl="6" w:tplc="5DA02326">
      <w:start w:val="1"/>
      <w:numFmt w:val="decimal"/>
      <w:lvlText w:val="%7."/>
      <w:lvlJc w:val="left"/>
      <w:pPr>
        <w:ind w:left="720" w:hanging="360"/>
      </w:pPr>
    </w:lvl>
    <w:lvl w:ilvl="7" w:tplc="EDD6D2DA">
      <w:start w:val="1"/>
      <w:numFmt w:val="decimal"/>
      <w:lvlText w:val="%8."/>
      <w:lvlJc w:val="left"/>
      <w:pPr>
        <w:ind w:left="720" w:hanging="360"/>
      </w:pPr>
    </w:lvl>
    <w:lvl w:ilvl="8" w:tplc="B6B83F5A">
      <w:start w:val="1"/>
      <w:numFmt w:val="decimal"/>
      <w:lvlText w:val="%9."/>
      <w:lvlJc w:val="left"/>
      <w:pPr>
        <w:ind w:left="720" w:hanging="360"/>
      </w:pPr>
    </w:lvl>
  </w:abstractNum>
  <w:abstractNum w:abstractNumId="8" w15:restartNumberingAfterBreak="0">
    <w:nsid w:val="6A516BFD"/>
    <w:multiLevelType w:val="hybridMultilevel"/>
    <w:tmpl w:val="2878E61E"/>
    <w:lvl w:ilvl="0" w:tplc="AD8E8CE2">
      <w:start w:val="1"/>
      <w:numFmt w:val="decimal"/>
      <w:lvlText w:val="%1."/>
      <w:lvlJc w:val="left"/>
      <w:pPr>
        <w:ind w:left="720" w:hanging="360"/>
      </w:pPr>
    </w:lvl>
    <w:lvl w:ilvl="1" w:tplc="238AACC2">
      <w:start w:val="1"/>
      <w:numFmt w:val="decimal"/>
      <w:lvlText w:val="%2."/>
      <w:lvlJc w:val="left"/>
      <w:pPr>
        <w:ind w:left="720" w:hanging="360"/>
      </w:pPr>
    </w:lvl>
    <w:lvl w:ilvl="2" w:tplc="2A7C4000">
      <w:start w:val="1"/>
      <w:numFmt w:val="decimal"/>
      <w:lvlText w:val="%3."/>
      <w:lvlJc w:val="left"/>
      <w:pPr>
        <w:ind w:left="720" w:hanging="360"/>
      </w:pPr>
    </w:lvl>
    <w:lvl w:ilvl="3" w:tplc="BFD25A58">
      <w:start w:val="1"/>
      <w:numFmt w:val="decimal"/>
      <w:lvlText w:val="%4."/>
      <w:lvlJc w:val="left"/>
      <w:pPr>
        <w:ind w:left="720" w:hanging="360"/>
      </w:pPr>
    </w:lvl>
    <w:lvl w:ilvl="4" w:tplc="467A10D6">
      <w:start w:val="1"/>
      <w:numFmt w:val="decimal"/>
      <w:lvlText w:val="%5."/>
      <w:lvlJc w:val="left"/>
      <w:pPr>
        <w:ind w:left="720" w:hanging="360"/>
      </w:pPr>
    </w:lvl>
    <w:lvl w:ilvl="5" w:tplc="2B860140">
      <w:start w:val="1"/>
      <w:numFmt w:val="decimal"/>
      <w:lvlText w:val="%6."/>
      <w:lvlJc w:val="left"/>
      <w:pPr>
        <w:ind w:left="720" w:hanging="360"/>
      </w:pPr>
    </w:lvl>
    <w:lvl w:ilvl="6" w:tplc="71844DF4">
      <w:start w:val="1"/>
      <w:numFmt w:val="decimal"/>
      <w:lvlText w:val="%7."/>
      <w:lvlJc w:val="left"/>
      <w:pPr>
        <w:ind w:left="720" w:hanging="360"/>
      </w:pPr>
    </w:lvl>
    <w:lvl w:ilvl="7" w:tplc="DDC6B3E6">
      <w:start w:val="1"/>
      <w:numFmt w:val="decimal"/>
      <w:lvlText w:val="%8."/>
      <w:lvlJc w:val="left"/>
      <w:pPr>
        <w:ind w:left="720" w:hanging="360"/>
      </w:pPr>
    </w:lvl>
    <w:lvl w:ilvl="8" w:tplc="F2A2BDD0">
      <w:start w:val="1"/>
      <w:numFmt w:val="decimal"/>
      <w:lvlText w:val="%9."/>
      <w:lvlJc w:val="left"/>
      <w:pPr>
        <w:ind w:left="720" w:hanging="360"/>
      </w:pPr>
    </w:lvl>
  </w:abstractNum>
  <w:abstractNum w:abstractNumId="9" w15:restartNumberingAfterBreak="0">
    <w:nsid w:val="6D3C53F5"/>
    <w:multiLevelType w:val="hybridMultilevel"/>
    <w:tmpl w:val="6B8415E6"/>
    <w:lvl w:ilvl="0" w:tplc="57A0ED4A">
      <w:start w:val="1"/>
      <w:numFmt w:val="decimal"/>
      <w:lvlText w:val="%1."/>
      <w:lvlJc w:val="left"/>
      <w:pPr>
        <w:ind w:left="720" w:hanging="360"/>
      </w:pPr>
    </w:lvl>
    <w:lvl w:ilvl="1" w:tplc="F80A2318">
      <w:start w:val="1"/>
      <w:numFmt w:val="decimal"/>
      <w:lvlText w:val="%2."/>
      <w:lvlJc w:val="left"/>
      <w:pPr>
        <w:ind w:left="720" w:hanging="360"/>
      </w:pPr>
    </w:lvl>
    <w:lvl w:ilvl="2" w:tplc="A9246742">
      <w:start w:val="1"/>
      <w:numFmt w:val="decimal"/>
      <w:lvlText w:val="%3."/>
      <w:lvlJc w:val="left"/>
      <w:pPr>
        <w:ind w:left="720" w:hanging="360"/>
      </w:pPr>
    </w:lvl>
    <w:lvl w:ilvl="3" w:tplc="EA46232C">
      <w:start w:val="1"/>
      <w:numFmt w:val="decimal"/>
      <w:lvlText w:val="%4."/>
      <w:lvlJc w:val="left"/>
      <w:pPr>
        <w:ind w:left="720" w:hanging="360"/>
      </w:pPr>
    </w:lvl>
    <w:lvl w:ilvl="4" w:tplc="9E548358">
      <w:start w:val="1"/>
      <w:numFmt w:val="decimal"/>
      <w:lvlText w:val="%5."/>
      <w:lvlJc w:val="left"/>
      <w:pPr>
        <w:ind w:left="720" w:hanging="360"/>
      </w:pPr>
    </w:lvl>
    <w:lvl w:ilvl="5" w:tplc="2B8E6810">
      <w:start w:val="1"/>
      <w:numFmt w:val="decimal"/>
      <w:lvlText w:val="%6."/>
      <w:lvlJc w:val="left"/>
      <w:pPr>
        <w:ind w:left="720" w:hanging="360"/>
      </w:pPr>
    </w:lvl>
    <w:lvl w:ilvl="6" w:tplc="89E48456">
      <w:start w:val="1"/>
      <w:numFmt w:val="decimal"/>
      <w:lvlText w:val="%7."/>
      <w:lvlJc w:val="left"/>
      <w:pPr>
        <w:ind w:left="720" w:hanging="360"/>
      </w:pPr>
    </w:lvl>
    <w:lvl w:ilvl="7" w:tplc="7ABAA8DC">
      <w:start w:val="1"/>
      <w:numFmt w:val="decimal"/>
      <w:lvlText w:val="%8."/>
      <w:lvlJc w:val="left"/>
      <w:pPr>
        <w:ind w:left="720" w:hanging="360"/>
      </w:pPr>
    </w:lvl>
    <w:lvl w:ilvl="8" w:tplc="94D66412">
      <w:start w:val="1"/>
      <w:numFmt w:val="decimal"/>
      <w:lvlText w:val="%9."/>
      <w:lvlJc w:val="left"/>
      <w:pPr>
        <w:ind w:left="720" w:hanging="360"/>
      </w:pPr>
    </w:lvl>
  </w:abstractNum>
  <w:abstractNum w:abstractNumId="10" w15:restartNumberingAfterBreak="0">
    <w:nsid w:val="77030421"/>
    <w:multiLevelType w:val="hybridMultilevel"/>
    <w:tmpl w:val="0672C6F6"/>
    <w:lvl w:ilvl="0" w:tplc="64601122">
      <w:start w:val="1"/>
      <w:numFmt w:val="bullet"/>
      <w:lvlText w:val=""/>
      <w:lvlJc w:val="left"/>
      <w:pPr>
        <w:ind w:left="720" w:hanging="360"/>
      </w:pPr>
      <w:rPr>
        <w:rFonts w:ascii="Symbol" w:hAnsi="Symbol"/>
      </w:rPr>
    </w:lvl>
    <w:lvl w:ilvl="1" w:tplc="B7F26F6C">
      <w:start w:val="1"/>
      <w:numFmt w:val="bullet"/>
      <w:lvlText w:val=""/>
      <w:lvlJc w:val="left"/>
      <w:pPr>
        <w:ind w:left="720" w:hanging="360"/>
      </w:pPr>
      <w:rPr>
        <w:rFonts w:ascii="Symbol" w:hAnsi="Symbol"/>
      </w:rPr>
    </w:lvl>
    <w:lvl w:ilvl="2" w:tplc="20188C4A">
      <w:start w:val="1"/>
      <w:numFmt w:val="bullet"/>
      <w:lvlText w:val=""/>
      <w:lvlJc w:val="left"/>
      <w:pPr>
        <w:ind w:left="720" w:hanging="360"/>
      </w:pPr>
      <w:rPr>
        <w:rFonts w:ascii="Symbol" w:hAnsi="Symbol"/>
      </w:rPr>
    </w:lvl>
    <w:lvl w:ilvl="3" w:tplc="59661304">
      <w:start w:val="1"/>
      <w:numFmt w:val="bullet"/>
      <w:lvlText w:val=""/>
      <w:lvlJc w:val="left"/>
      <w:pPr>
        <w:ind w:left="720" w:hanging="360"/>
      </w:pPr>
      <w:rPr>
        <w:rFonts w:ascii="Symbol" w:hAnsi="Symbol"/>
      </w:rPr>
    </w:lvl>
    <w:lvl w:ilvl="4" w:tplc="E31A18FA">
      <w:start w:val="1"/>
      <w:numFmt w:val="bullet"/>
      <w:lvlText w:val=""/>
      <w:lvlJc w:val="left"/>
      <w:pPr>
        <w:ind w:left="720" w:hanging="360"/>
      </w:pPr>
      <w:rPr>
        <w:rFonts w:ascii="Symbol" w:hAnsi="Symbol"/>
      </w:rPr>
    </w:lvl>
    <w:lvl w:ilvl="5" w:tplc="B86C796E">
      <w:start w:val="1"/>
      <w:numFmt w:val="bullet"/>
      <w:lvlText w:val=""/>
      <w:lvlJc w:val="left"/>
      <w:pPr>
        <w:ind w:left="720" w:hanging="360"/>
      </w:pPr>
      <w:rPr>
        <w:rFonts w:ascii="Symbol" w:hAnsi="Symbol"/>
      </w:rPr>
    </w:lvl>
    <w:lvl w:ilvl="6" w:tplc="D304F498">
      <w:start w:val="1"/>
      <w:numFmt w:val="bullet"/>
      <w:lvlText w:val=""/>
      <w:lvlJc w:val="left"/>
      <w:pPr>
        <w:ind w:left="720" w:hanging="360"/>
      </w:pPr>
      <w:rPr>
        <w:rFonts w:ascii="Symbol" w:hAnsi="Symbol"/>
      </w:rPr>
    </w:lvl>
    <w:lvl w:ilvl="7" w:tplc="2D8A91B4">
      <w:start w:val="1"/>
      <w:numFmt w:val="bullet"/>
      <w:lvlText w:val=""/>
      <w:lvlJc w:val="left"/>
      <w:pPr>
        <w:ind w:left="720" w:hanging="360"/>
      </w:pPr>
      <w:rPr>
        <w:rFonts w:ascii="Symbol" w:hAnsi="Symbol"/>
      </w:rPr>
    </w:lvl>
    <w:lvl w:ilvl="8" w:tplc="19CAB892">
      <w:start w:val="1"/>
      <w:numFmt w:val="bullet"/>
      <w:lvlText w:val=""/>
      <w:lvlJc w:val="left"/>
      <w:pPr>
        <w:ind w:left="720" w:hanging="360"/>
      </w:pPr>
      <w:rPr>
        <w:rFonts w:ascii="Symbol" w:hAnsi="Symbol"/>
      </w:rPr>
    </w:lvl>
  </w:abstractNum>
  <w:num w:numId="1" w16cid:durableId="1984234065">
    <w:abstractNumId w:val="3"/>
  </w:num>
  <w:num w:numId="2" w16cid:durableId="397364771">
    <w:abstractNumId w:val="5"/>
  </w:num>
  <w:num w:numId="3" w16cid:durableId="628780623">
    <w:abstractNumId w:val="8"/>
  </w:num>
  <w:num w:numId="4" w16cid:durableId="1190679782">
    <w:abstractNumId w:val="1"/>
  </w:num>
  <w:num w:numId="5" w16cid:durableId="1666587499">
    <w:abstractNumId w:val="6"/>
  </w:num>
  <w:num w:numId="6" w16cid:durableId="797576697">
    <w:abstractNumId w:val="9"/>
  </w:num>
  <w:num w:numId="7" w16cid:durableId="1581520183">
    <w:abstractNumId w:val="0"/>
  </w:num>
  <w:num w:numId="8" w16cid:durableId="381514811">
    <w:abstractNumId w:val="2"/>
  </w:num>
  <w:num w:numId="9" w16cid:durableId="1438595953">
    <w:abstractNumId w:val="4"/>
  </w:num>
  <w:num w:numId="10" w16cid:durableId="455024604">
    <w:abstractNumId w:val="10"/>
  </w:num>
  <w:num w:numId="11" w16cid:durableId="1585871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40F2A"/>
    <w:rsid w:val="0004123D"/>
    <w:rsid w:val="00057592"/>
    <w:rsid w:val="0007334C"/>
    <w:rsid w:val="00080047"/>
    <w:rsid w:val="000B1BE7"/>
    <w:rsid w:val="000C5A78"/>
    <w:rsid w:val="000C63F6"/>
    <w:rsid w:val="000E07D8"/>
    <w:rsid w:val="000F7DA6"/>
    <w:rsid w:val="00101253"/>
    <w:rsid w:val="00105E82"/>
    <w:rsid w:val="00113EDB"/>
    <w:rsid w:val="00117A90"/>
    <w:rsid w:val="0012655F"/>
    <w:rsid w:val="00127E75"/>
    <w:rsid w:val="001337EF"/>
    <w:rsid w:val="00147988"/>
    <w:rsid w:val="00157858"/>
    <w:rsid w:val="001725AA"/>
    <w:rsid w:val="00183D6A"/>
    <w:rsid w:val="00195A88"/>
    <w:rsid w:val="001B4D9E"/>
    <w:rsid w:val="001D2DE7"/>
    <w:rsid w:val="001D7C57"/>
    <w:rsid w:val="001E236C"/>
    <w:rsid w:val="001E388B"/>
    <w:rsid w:val="001F5587"/>
    <w:rsid w:val="00205954"/>
    <w:rsid w:val="00254C38"/>
    <w:rsid w:val="00264ECC"/>
    <w:rsid w:val="00265ED2"/>
    <w:rsid w:val="00270784"/>
    <w:rsid w:val="002730BC"/>
    <w:rsid w:val="002A5E48"/>
    <w:rsid w:val="002A7453"/>
    <w:rsid w:val="002B097A"/>
    <w:rsid w:val="002B0E1E"/>
    <w:rsid w:val="002E3CBE"/>
    <w:rsid w:val="002E5577"/>
    <w:rsid w:val="002F6452"/>
    <w:rsid w:val="002F70B2"/>
    <w:rsid w:val="00307169"/>
    <w:rsid w:val="00317B84"/>
    <w:rsid w:val="00321A6B"/>
    <w:rsid w:val="00322FCA"/>
    <w:rsid w:val="00346CD8"/>
    <w:rsid w:val="00380DCF"/>
    <w:rsid w:val="00381201"/>
    <w:rsid w:val="003812EA"/>
    <w:rsid w:val="00387B3F"/>
    <w:rsid w:val="003D451D"/>
    <w:rsid w:val="00412620"/>
    <w:rsid w:val="00423930"/>
    <w:rsid w:val="00432332"/>
    <w:rsid w:val="0043355B"/>
    <w:rsid w:val="00445D1A"/>
    <w:rsid w:val="004663F7"/>
    <w:rsid w:val="004709C0"/>
    <w:rsid w:val="00471C03"/>
    <w:rsid w:val="00486F57"/>
    <w:rsid w:val="004B3B8B"/>
    <w:rsid w:val="004B53C9"/>
    <w:rsid w:val="004B71D3"/>
    <w:rsid w:val="004C59F0"/>
    <w:rsid w:val="004C6036"/>
    <w:rsid w:val="004F7772"/>
    <w:rsid w:val="005217BB"/>
    <w:rsid w:val="00522108"/>
    <w:rsid w:val="00525A6A"/>
    <w:rsid w:val="005439A8"/>
    <w:rsid w:val="00557B58"/>
    <w:rsid w:val="005A4112"/>
    <w:rsid w:val="005D2332"/>
    <w:rsid w:val="005F120F"/>
    <w:rsid w:val="00615CAD"/>
    <w:rsid w:val="0064519B"/>
    <w:rsid w:val="0066558D"/>
    <w:rsid w:val="00673FEA"/>
    <w:rsid w:val="00675B32"/>
    <w:rsid w:val="006B379E"/>
    <w:rsid w:val="006C7FDE"/>
    <w:rsid w:val="006E1CAF"/>
    <w:rsid w:val="006E6158"/>
    <w:rsid w:val="006F7D09"/>
    <w:rsid w:val="007034C5"/>
    <w:rsid w:val="007072FC"/>
    <w:rsid w:val="007126B2"/>
    <w:rsid w:val="00726446"/>
    <w:rsid w:val="00736FCA"/>
    <w:rsid w:val="00793240"/>
    <w:rsid w:val="007B17CB"/>
    <w:rsid w:val="007B64E2"/>
    <w:rsid w:val="007C71D6"/>
    <w:rsid w:val="007E1081"/>
    <w:rsid w:val="007E6A41"/>
    <w:rsid w:val="008034F6"/>
    <w:rsid w:val="00827A47"/>
    <w:rsid w:val="00835888"/>
    <w:rsid w:val="0084779C"/>
    <w:rsid w:val="008567C5"/>
    <w:rsid w:val="00861210"/>
    <w:rsid w:val="00864AFC"/>
    <w:rsid w:val="008D6A74"/>
    <w:rsid w:val="008F1C67"/>
    <w:rsid w:val="008F230B"/>
    <w:rsid w:val="008F52C9"/>
    <w:rsid w:val="00914608"/>
    <w:rsid w:val="009154AD"/>
    <w:rsid w:val="00925EF3"/>
    <w:rsid w:val="0093353B"/>
    <w:rsid w:val="00946D2F"/>
    <w:rsid w:val="0097551C"/>
    <w:rsid w:val="009D05E2"/>
    <w:rsid w:val="009F7207"/>
    <w:rsid w:val="00A138CB"/>
    <w:rsid w:val="00A34025"/>
    <w:rsid w:val="00A3453C"/>
    <w:rsid w:val="00A570FB"/>
    <w:rsid w:val="00A76007"/>
    <w:rsid w:val="00A83B89"/>
    <w:rsid w:val="00AD689F"/>
    <w:rsid w:val="00AE5027"/>
    <w:rsid w:val="00B329BC"/>
    <w:rsid w:val="00B5367C"/>
    <w:rsid w:val="00B5526D"/>
    <w:rsid w:val="00B711C2"/>
    <w:rsid w:val="00B725C0"/>
    <w:rsid w:val="00B7351F"/>
    <w:rsid w:val="00B7633C"/>
    <w:rsid w:val="00B803C6"/>
    <w:rsid w:val="00B90539"/>
    <w:rsid w:val="00B9788A"/>
    <w:rsid w:val="00BA191F"/>
    <w:rsid w:val="00BD35D6"/>
    <w:rsid w:val="00BD51FF"/>
    <w:rsid w:val="00C22DFC"/>
    <w:rsid w:val="00C235C4"/>
    <w:rsid w:val="00C259FF"/>
    <w:rsid w:val="00C260E8"/>
    <w:rsid w:val="00C30ED8"/>
    <w:rsid w:val="00C467E9"/>
    <w:rsid w:val="00C52204"/>
    <w:rsid w:val="00C60D9C"/>
    <w:rsid w:val="00C64EAE"/>
    <w:rsid w:val="00C81849"/>
    <w:rsid w:val="00C84DC0"/>
    <w:rsid w:val="00C8695F"/>
    <w:rsid w:val="00CA5E1C"/>
    <w:rsid w:val="00CB4C5B"/>
    <w:rsid w:val="00CB754A"/>
    <w:rsid w:val="00CD0C64"/>
    <w:rsid w:val="00CD2712"/>
    <w:rsid w:val="00CD4981"/>
    <w:rsid w:val="00CE150E"/>
    <w:rsid w:val="00D0785A"/>
    <w:rsid w:val="00D202B9"/>
    <w:rsid w:val="00D216F1"/>
    <w:rsid w:val="00D22A89"/>
    <w:rsid w:val="00D22F4B"/>
    <w:rsid w:val="00D41DF4"/>
    <w:rsid w:val="00D45567"/>
    <w:rsid w:val="00D559E9"/>
    <w:rsid w:val="00D61860"/>
    <w:rsid w:val="00D65BC9"/>
    <w:rsid w:val="00D84037"/>
    <w:rsid w:val="00DC14D1"/>
    <w:rsid w:val="00DC58B2"/>
    <w:rsid w:val="00DD5060"/>
    <w:rsid w:val="00DD72EC"/>
    <w:rsid w:val="00DE424D"/>
    <w:rsid w:val="00DF28A0"/>
    <w:rsid w:val="00E0171A"/>
    <w:rsid w:val="00E21B08"/>
    <w:rsid w:val="00E25C7C"/>
    <w:rsid w:val="00E31C28"/>
    <w:rsid w:val="00E45CFB"/>
    <w:rsid w:val="00E4784E"/>
    <w:rsid w:val="00E506AA"/>
    <w:rsid w:val="00E83AA6"/>
    <w:rsid w:val="00E85993"/>
    <w:rsid w:val="00E95262"/>
    <w:rsid w:val="00EA2AAD"/>
    <w:rsid w:val="00EF4837"/>
    <w:rsid w:val="00EF53AC"/>
    <w:rsid w:val="00F04BE5"/>
    <w:rsid w:val="00F103AB"/>
    <w:rsid w:val="00F15167"/>
    <w:rsid w:val="00F17CEE"/>
    <w:rsid w:val="00F23D48"/>
    <w:rsid w:val="00F57594"/>
    <w:rsid w:val="00F66222"/>
    <w:rsid w:val="00F662AB"/>
    <w:rsid w:val="00F831BD"/>
    <w:rsid w:val="00FA28FF"/>
    <w:rsid w:val="00FD742F"/>
    <w:rsid w:val="00FF2845"/>
    <w:rsid w:val="00FF2E0B"/>
    <w:rsid w:val="232E3B63"/>
    <w:rsid w:val="3953DA7A"/>
    <w:rsid w:val="42F0A0E4"/>
    <w:rsid w:val="5921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CB4C5B"/>
  </w:style>
  <w:style w:type="character" w:customStyle="1" w:styleId="BodyTextChar">
    <w:name w:val="Body Text Char"/>
    <w:basedOn w:val="DefaultParagraphFont"/>
    <w:link w:val="BodyText"/>
    <w:uiPriority w:val="99"/>
    <w:semiHidden/>
    <w:rsid w:val="00CB4C5B"/>
  </w:style>
  <w:style w:type="character" w:styleId="UnresolvedMention">
    <w:name w:val="Unresolved Mention"/>
    <w:basedOn w:val="DefaultParagraphFont"/>
    <w:uiPriority w:val="99"/>
    <w:semiHidden/>
    <w:unhideWhenUsed/>
    <w:rsid w:val="00E5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716</Words>
  <Characters>3753</Characters>
  <Application>Microsoft Office Word</Application>
  <DocSecurity>0</DocSecurity>
  <Lines>73</Lines>
  <Paragraphs>44</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Hicks</dc:creator>
  <cp:keywords/>
  <cp:lastModifiedBy>Rasmussen, Jeremy</cp:lastModifiedBy>
  <cp:revision>7</cp:revision>
  <dcterms:created xsi:type="dcterms:W3CDTF">2026-06-10T20:38:00Z</dcterms:created>
  <dcterms:modified xsi:type="dcterms:W3CDTF">2026-06-12T15:47:00Z</dcterms:modified>
</cp:coreProperties>
</file>