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B5C" w14:textId="46400DD4" w:rsidR="00615CAD" w:rsidRPr="00615CAD" w:rsidRDefault="001D2DE7" w:rsidP="00615CAD">
      <w:pPr>
        <w:pStyle w:val="Logo"/>
      </w:pPr>
      <w:r>
        <w:rPr>
          <w:noProof/>
        </w:rPr>
        <w:drawing>
          <wp:inline distT="0" distB="0" distL="0" distR="0" wp14:anchorId="225F5CA7" wp14:editId="7F4217DA">
            <wp:extent cx="2514600"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8">
                      <a:extLst>
                        <a:ext uri="{28A0092B-C50C-407E-A947-70E740481C1C}">
                          <a14:useLocalDpi xmlns:a14="http://schemas.microsoft.com/office/drawing/2010/main" val="0"/>
                        </a:ext>
                      </a:extLst>
                    </a:blip>
                    <a:stretch>
                      <a:fillRect/>
                    </a:stretch>
                  </pic:blipFill>
                  <pic:spPr>
                    <a:xfrm>
                      <a:off x="0" y="0"/>
                      <a:ext cx="2514600" cy="522605"/>
                    </a:xfrm>
                    <a:prstGeom prst="rect">
                      <a:avLst/>
                    </a:prstGeom>
                  </pic:spPr>
                </pic:pic>
              </a:graphicData>
            </a:graphic>
          </wp:inline>
        </w:drawing>
      </w:r>
    </w:p>
    <w:p w14:paraId="35DA8A81" w14:textId="2DEFEBB8" w:rsidR="00615CAD" w:rsidRPr="00B725C0" w:rsidRDefault="00B725C0" w:rsidP="001D2DE7">
      <w:pPr>
        <w:pStyle w:val="Heading1"/>
        <w:ind w:left="1440"/>
      </w:pPr>
      <w:r>
        <w:br/>
        <w:t xml:space="preserve">Quick Review of </w:t>
      </w:r>
      <w:r>
        <w:br/>
        <w:t>Model System Research</w:t>
      </w:r>
    </w:p>
    <w:p w14:paraId="71136092" w14:textId="77777777" w:rsidR="00615CAD" w:rsidRDefault="00615CAD" w:rsidP="00387B3F">
      <w:pPr>
        <w:pStyle w:val="Heading2"/>
        <w:rPr>
          <w:rStyle w:val="FootnoteReference"/>
          <w:vertAlign w:val="baseline"/>
        </w:rPr>
        <w:sectPr w:rsidR="00615CAD" w:rsidSect="00B725C0">
          <w:headerReference w:type="default" r:id="rId9"/>
          <w:footerReference w:type="default" r:id="rId10"/>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0FC64788" w14:textId="2D8C1E87" w:rsidR="00254C38" w:rsidRDefault="00D0785A" w:rsidP="00D0785A">
      <w:pPr>
        <w:pStyle w:val="Heading3"/>
        <w:spacing w:before="360"/>
        <w:jc w:val="center"/>
        <w:rPr>
          <w:rFonts w:ascii="Arial" w:hAnsi="Arial"/>
          <w:color w:val="CA602C"/>
          <w:sz w:val="28"/>
          <w:szCs w:val="32"/>
        </w:rPr>
      </w:pPr>
      <w:r>
        <w:rPr>
          <w:rFonts w:ascii="Arial" w:hAnsi="Arial"/>
          <w:color w:val="CA602C"/>
          <w:sz w:val="28"/>
          <w:szCs w:val="32"/>
        </w:rPr>
        <w:t>10-Year Variability in High and Low Life Satisfaction Trajectories Post-Traumatic Brain Injury: A TBI Model Systems Study</w:t>
      </w:r>
    </w:p>
    <w:p w14:paraId="52E59DE8" w14:textId="44B2EC78" w:rsidR="00615CAD" w:rsidRPr="00254C38" w:rsidRDefault="00615CAD" w:rsidP="009924B7">
      <w:pPr>
        <w:pStyle w:val="Heading3"/>
        <w:spacing w:before="120" w:line="360" w:lineRule="auto"/>
        <w:ind w:left="0"/>
        <w:rPr>
          <w:rFonts w:ascii="Arial" w:hAnsi="Arial"/>
          <w:color w:val="CA602C"/>
          <w:sz w:val="28"/>
          <w:szCs w:val="28"/>
        </w:rPr>
      </w:pPr>
      <w:r>
        <w:t>What is the study about?</w:t>
      </w:r>
    </w:p>
    <w:p w14:paraId="1A2B3C05" w14:textId="494E868B" w:rsidR="00615CAD" w:rsidRDefault="003074BB" w:rsidP="003074BB">
      <w:pPr>
        <w:pStyle w:val="Background"/>
        <w:spacing w:before="0" w:after="0" w:line="360" w:lineRule="auto"/>
        <w:jc w:val="left"/>
      </w:pPr>
      <w:r w:rsidRPr="003074BB">
        <w:t>This study examined how life satisfaction changes over 10 years after a traumatic brain injury (TBI), caused by a blow or jolt to the head. Researchers tracked people at 1, 5, and 10 years post-injury to see whether their overall life satisfaction stayed stable or changed over time.</w:t>
      </w:r>
    </w:p>
    <w:p w14:paraId="2C7EFF17" w14:textId="77777777" w:rsidR="00CB4C5B" w:rsidRDefault="00CB4C5B" w:rsidP="003074BB">
      <w:pPr>
        <w:pStyle w:val="Heading3"/>
        <w:spacing w:before="120" w:line="360" w:lineRule="auto"/>
        <w:ind w:left="0"/>
      </w:pPr>
      <w:r>
        <w:t>What did the study find?</w:t>
      </w:r>
    </w:p>
    <w:p w14:paraId="0B100001" w14:textId="591B0CC3" w:rsidR="00CB4C5B" w:rsidRDefault="003074BB" w:rsidP="00CE4E01">
      <w:pPr>
        <w:spacing w:before="0"/>
      </w:pPr>
      <w:r w:rsidRPr="00CE4E01">
        <w:rPr>
          <w:rFonts w:ascii="Arial Narrow" w:hAnsi="Arial Narrow"/>
          <w:sz w:val="18"/>
          <w:szCs w:val="18"/>
        </w:rPr>
        <w:t xml:space="preserve">Five life satisfaction patterns emerged over 10 years after TBI: </w:t>
      </w:r>
    </w:p>
    <w:p w14:paraId="0B100002" w14:textId="02222222" w:rsidR="00CB4C5B" w:rsidRDefault="00CB4C5B" w:rsidP="00C15080">
      <w:pPr>
        <w:pStyle w:val="Background"/>
        <w:numPr>
          <w:ilvl w:val="0"/>
          <w:numId w:val="12"/>
        </w:numPr>
        <w:spacing w:before="0" w:after="0" w:line="360" w:lineRule="auto"/>
        <w:jc w:val="left"/>
      </w:pPr>
      <w:r>
        <w:rPr>
          <w:b/>
        </w:rPr>
        <w:t xml:space="preserve">Stable High (34%): </w:t>
      </w:r>
      <w:r>
        <w:t>Life satisfaction stayed high throughout all 10 years.</w:t>
      </w:r>
    </w:p>
    <w:p w14:paraId="0B100003" w14:textId="02222223" w:rsidR="00CB4C5B" w:rsidRDefault="00CB4C5B" w:rsidP="00C15080">
      <w:pPr>
        <w:pStyle w:val="Background"/>
        <w:numPr>
          <w:ilvl w:val="0"/>
          <w:numId w:val="12"/>
        </w:numPr>
        <w:spacing w:before="0" w:after="0" w:line="360" w:lineRule="auto"/>
        <w:jc w:val="left"/>
      </w:pPr>
      <w:r>
        <w:rPr>
          <w:b/>
        </w:rPr>
        <w:t xml:space="preserve">Increased to High (26%): </w:t>
      </w:r>
      <w:r>
        <w:t>Started with lower satisfaction but improved to high by year 10.</w:t>
      </w:r>
    </w:p>
    <w:p w14:paraId="0B100004" w14:textId="02222224" w:rsidR="00CB4C5B" w:rsidRDefault="00CB4C5B" w:rsidP="00C15080">
      <w:pPr>
        <w:pStyle w:val="Background"/>
        <w:numPr>
          <w:ilvl w:val="0"/>
          <w:numId w:val="12"/>
        </w:numPr>
        <w:spacing w:before="0" w:after="0" w:line="360" w:lineRule="auto"/>
        <w:jc w:val="left"/>
      </w:pPr>
      <w:r>
        <w:rPr>
          <w:b/>
        </w:rPr>
        <w:t xml:space="preserve">Decreased to Low (15%): </w:t>
      </w:r>
      <w:r>
        <w:t>Started higher but dropped to low satisfaction by year 10.</w:t>
      </w:r>
    </w:p>
    <w:p w14:paraId="0B100005" w14:textId="02222225" w:rsidR="00CB4C5B" w:rsidRDefault="00CB4C5B" w:rsidP="00C15080">
      <w:pPr>
        <w:pStyle w:val="Background"/>
        <w:numPr>
          <w:ilvl w:val="0"/>
          <w:numId w:val="12"/>
        </w:numPr>
        <w:spacing w:before="0" w:after="0" w:line="360" w:lineRule="auto"/>
        <w:jc w:val="left"/>
      </w:pPr>
      <w:r>
        <w:rPr>
          <w:b/>
        </w:rPr>
        <w:t xml:space="preserve">Unstable (15%): </w:t>
      </w:r>
      <w:r>
        <w:t>Satisfaction went up and down without a clear pattern.</w:t>
      </w:r>
    </w:p>
    <w:p w14:paraId="6EC23033" w14:textId="2C6B47C0" w:rsidR="007F00B5" w:rsidRDefault="00CB4C5B" w:rsidP="00CE4E01">
      <w:pPr>
        <w:pStyle w:val="Background"/>
        <w:numPr>
          <w:ilvl w:val="0"/>
          <w:numId w:val="12"/>
        </w:numPr>
        <w:spacing w:before="0" w:after="120" w:line="360" w:lineRule="auto"/>
        <w:jc w:val="left"/>
      </w:pPr>
      <w:r>
        <w:rPr>
          <w:b/>
        </w:rPr>
        <w:t xml:space="preserve">Stable Low (11%): </w:t>
      </w:r>
      <w:r>
        <w:t>Life satisfaction stayed low throughout all 10 years.</w:t>
      </w:r>
    </w:p>
    <w:p w14:paraId="0B100008" w14:textId="71D456C0" w:rsidR="00CB4C5B" w:rsidRDefault="007F00B5" w:rsidP="007F00B5">
      <w:pPr>
        <w:pStyle w:val="Background"/>
        <w:spacing w:before="0" w:after="0" w:line="360" w:lineRule="auto"/>
        <w:jc w:val="left"/>
      </w:pPr>
      <w:r w:rsidRPr="007F00B5">
        <w:t>By 10 years post-injury, 60% reported high life satisfaction, while 40% experienced low, declining, or unstable outcomes. Mental health and daily functioning—not demographics</w:t>
      </w:r>
      <w:r w:rsidR="00D251B1">
        <w:t xml:space="preserve"> (i.e., </w:t>
      </w:r>
      <w:r w:rsidR="008C47D3">
        <w:t>age, sex)</w:t>
      </w:r>
      <w:r w:rsidRPr="007F00B5">
        <w:t xml:space="preserve">—were the key drivers: higher satisfaction was linked to less depression, lower disability, and greater community participation, while lower satisfaction showed </w:t>
      </w:r>
      <w:r w:rsidR="00CB4C5B">
        <w:t>more depression, more disability, and less community participation.</w:t>
      </w:r>
    </w:p>
    <w:p w14:paraId="4D088AA8" w14:textId="0ED065F8" w:rsidR="00615CAD" w:rsidRPr="000B1BE7" w:rsidRDefault="00615CAD" w:rsidP="00CE4E01">
      <w:pPr>
        <w:pStyle w:val="Heading3"/>
        <w:spacing w:before="120" w:line="360" w:lineRule="auto"/>
        <w:ind w:left="0"/>
      </w:pPr>
      <w:r>
        <w:t>Who participated in the study?</w:t>
      </w:r>
    </w:p>
    <w:p w14:paraId="569EA17D" w14:textId="1F51DD70" w:rsidR="007F00B5" w:rsidRDefault="007F00B5" w:rsidP="00E15534">
      <w:pPr>
        <w:pStyle w:val="Background"/>
        <w:spacing w:before="0" w:after="0" w:line="360" w:lineRule="auto"/>
        <w:jc w:val="left"/>
      </w:pPr>
      <w:r>
        <w:t>The study included 1,941 people from the TBI Model Systems National Database, tracking patients treated at 22 U.S. rehab centers. Participants were 16+, had a moderate to severe TBI, were hospitalized within 72 hours, received inpatient rehab, and completed 1-, 5-, and 10-year follow-ups. The average age was 35; most were male (69%), white (77%), had severe TBI (72%), and were injured in motor vehicle accidents (62%).</w:t>
      </w:r>
    </w:p>
    <w:p w14:paraId="5A791BB4" w14:textId="4F79041E" w:rsidR="00615CAD" w:rsidRPr="00FA28FF" w:rsidRDefault="00615CAD" w:rsidP="00CE4E01">
      <w:pPr>
        <w:pStyle w:val="Heading3"/>
        <w:spacing w:before="120" w:line="360" w:lineRule="auto"/>
        <w:ind w:left="0"/>
      </w:pPr>
      <w:r>
        <w:t>How was the study conducted?</w:t>
      </w:r>
    </w:p>
    <w:p w14:paraId="6B20A61C" w14:textId="367E3AB9" w:rsidR="007F00B5" w:rsidRDefault="007F00B5" w:rsidP="00E15534">
      <w:pPr>
        <w:pStyle w:val="Background"/>
        <w:spacing w:before="0" w:after="0" w:line="360" w:lineRule="auto"/>
        <w:jc w:val="left"/>
      </w:pPr>
      <w:r w:rsidRPr="007F00B5">
        <w:t>This observational study followed participants over time without altering their care. They completed interviews at 1, 5, and 10 years post-TBI, including the 5-item Satisfaction With Life Scale (SWLS), where higher scores indicate greater satisfaction. Researchers also assessed mental health, function, disability, and community participation, using these data to identify five life satisfaction trajectories and what distinguished them.</w:t>
      </w:r>
    </w:p>
    <w:p w14:paraId="7403FEC6" w14:textId="77777777" w:rsidR="00CB4C5B" w:rsidRDefault="00CB4C5B" w:rsidP="00CE4E01">
      <w:pPr>
        <w:pStyle w:val="Heading3"/>
        <w:spacing w:before="120" w:line="360" w:lineRule="auto"/>
        <w:ind w:left="0"/>
      </w:pPr>
      <w:r>
        <w:t>How can people use the results?</w:t>
      </w:r>
    </w:p>
    <w:p w14:paraId="0E100001" w14:textId="2B03B636" w:rsidR="00CB4C5B" w:rsidRDefault="00CB4C5B" w:rsidP="00E15534">
      <w:pPr>
        <w:pStyle w:val="Background"/>
        <w:spacing w:before="0" w:after="0" w:line="360" w:lineRule="auto"/>
        <w:jc w:val="left"/>
      </w:pPr>
      <w:r w:rsidRPr="09B57666">
        <w:rPr>
          <w:b/>
          <w:bCs/>
        </w:rPr>
        <w:t xml:space="preserve">TBI </w:t>
      </w:r>
      <w:r w:rsidR="00F557A6" w:rsidRPr="09B57666">
        <w:rPr>
          <w:b/>
          <w:bCs/>
        </w:rPr>
        <w:t>S</w:t>
      </w:r>
      <w:r w:rsidRPr="09B57666">
        <w:rPr>
          <w:b/>
          <w:bCs/>
        </w:rPr>
        <w:t xml:space="preserve">urvivors and </w:t>
      </w:r>
      <w:r w:rsidR="00F557A6" w:rsidRPr="09B57666">
        <w:rPr>
          <w:b/>
          <w:bCs/>
        </w:rPr>
        <w:t>F</w:t>
      </w:r>
      <w:r w:rsidRPr="09B57666">
        <w:rPr>
          <w:b/>
          <w:bCs/>
        </w:rPr>
        <w:t xml:space="preserve">amilies: </w:t>
      </w:r>
      <w:r w:rsidR="007C418F" w:rsidRPr="00CE4E01">
        <w:t>Life satisfaction often improves over time after TBI. Addressing depression, staying active, and working toward meaningful goals can support long-term well-being</w:t>
      </w:r>
      <w:r w:rsidR="007C418F" w:rsidRPr="007C418F">
        <w:rPr>
          <w:b/>
          <w:bCs/>
        </w:rPr>
        <w:t>.</w:t>
      </w:r>
    </w:p>
    <w:p w14:paraId="488B1B82" w14:textId="488E2269" w:rsidR="007C418F" w:rsidRPr="007C418F" w:rsidRDefault="00CB4C5B" w:rsidP="00CE4E01">
      <w:pPr>
        <w:pStyle w:val="Background"/>
        <w:spacing w:before="120" w:after="0" w:line="360" w:lineRule="auto"/>
        <w:jc w:val="left"/>
      </w:pPr>
      <w:r w:rsidRPr="09B57666">
        <w:rPr>
          <w:b/>
          <w:bCs/>
        </w:rPr>
        <w:t xml:space="preserve">Clinicians </w:t>
      </w:r>
      <w:r w:rsidR="00F557A6" w:rsidRPr="09B57666">
        <w:rPr>
          <w:b/>
          <w:bCs/>
        </w:rPr>
        <w:t>and Rehabilitation Teams</w:t>
      </w:r>
      <w:r w:rsidRPr="09B57666">
        <w:rPr>
          <w:b/>
          <w:bCs/>
        </w:rPr>
        <w:t xml:space="preserve">: </w:t>
      </w:r>
      <w:r w:rsidR="007C418F" w:rsidRPr="00CE4E01">
        <w:t>Provide ongoing follow-up and regularly screen for mood disorders. Supporting work and community involvement and treating depression early may improve long-term outcomes.</w:t>
      </w:r>
    </w:p>
    <w:p w14:paraId="0E100003" w14:textId="1D760A96" w:rsidR="00CB4C5B" w:rsidRDefault="00CB4C5B" w:rsidP="00CE4E01">
      <w:pPr>
        <w:pStyle w:val="Background"/>
        <w:spacing w:before="120" w:after="0" w:line="360" w:lineRule="auto"/>
        <w:jc w:val="left"/>
      </w:pPr>
      <w:r>
        <w:rPr>
          <w:b/>
        </w:rPr>
        <w:t xml:space="preserve">Researchers: </w:t>
      </w:r>
      <w:r>
        <w:t>Future studies should explore what specific interventions best support people at risk of declining life satisfaction after TBI.</w:t>
      </w:r>
    </w:p>
    <w:p w14:paraId="0E100004" w14:textId="21920EFE" w:rsidR="00CB4C5B" w:rsidRPr="00CE4E01" w:rsidRDefault="00CB4C5B" w:rsidP="00CE4E01">
      <w:pPr>
        <w:pStyle w:val="Background"/>
        <w:spacing w:before="120" w:after="0" w:line="360" w:lineRule="auto"/>
        <w:jc w:val="left"/>
        <w:rPr>
          <w:rFonts w:eastAsiaTheme="majorEastAsia"/>
          <w:b/>
          <w:bCs/>
          <w:noProof/>
          <w:color w:val="006F42"/>
          <w:sz w:val="24"/>
          <w:szCs w:val="26"/>
        </w:rPr>
      </w:pPr>
      <w:r w:rsidRPr="09B57666">
        <w:rPr>
          <w:b/>
          <w:bCs/>
        </w:rPr>
        <w:lastRenderedPageBreak/>
        <w:t xml:space="preserve">Policy </w:t>
      </w:r>
      <w:r w:rsidR="00F557A6" w:rsidRPr="09B57666">
        <w:rPr>
          <w:b/>
          <w:bCs/>
        </w:rPr>
        <w:t>and Healthcare Systems</w:t>
      </w:r>
      <w:r w:rsidRPr="09B57666">
        <w:rPr>
          <w:b/>
          <w:bCs/>
        </w:rPr>
        <w:t xml:space="preserve"> and </w:t>
      </w:r>
      <w:r w:rsidR="00F557A6" w:rsidRPr="09B57666">
        <w:rPr>
          <w:b/>
          <w:bCs/>
        </w:rPr>
        <w:t>C</w:t>
      </w:r>
      <w:r w:rsidRPr="09B57666">
        <w:rPr>
          <w:b/>
          <w:bCs/>
        </w:rPr>
        <w:t xml:space="preserve">ommunity </w:t>
      </w:r>
      <w:r w:rsidR="00F557A6" w:rsidRPr="09B57666">
        <w:rPr>
          <w:b/>
          <w:bCs/>
        </w:rPr>
        <w:t>O</w:t>
      </w:r>
      <w:r w:rsidRPr="09B57666">
        <w:rPr>
          <w:b/>
          <w:bCs/>
        </w:rPr>
        <w:t xml:space="preserve">rganizations: </w:t>
      </w:r>
      <w:r w:rsidR="007C418F" w:rsidRPr="00CE4E01">
        <w:t>Invest in community programs, employment support, and long-term rehab and mental health services to improve quality of life</w:t>
      </w:r>
      <w:r w:rsidR="007C418F">
        <w:t xml:space="preserve"> for people with TBI. </w:t>
      </w:r>
      <w:r w:rsidR="007C418F" w:rsidRPr="007C418F">
        <w:t xml:space="preserve">Policies that fund long-term rehabilitation and mental health services for </w:t>
      </w:r>
      <w:r w:rsidR="007C418F">
        <w:t xml:space="preserve">people with </w:t>
      </w:r>
      <w:r w:rsidR="007C418F" w:rsidRPr="007C418F">
        <w:t>TBI could improve quality of life at a population level.</w:t>
      </w:r>
    </w:p>
    <w:p w14:paraId="1F9A7C58" w14:textId="7A3DDA74" w:rsidR="00CB4C5B" w:rsidRDefault="007072FC" w:rsidP="00C15080">
      <w:pPr>
        <w:pStyle w:val="Heading3"/>
        <w:spacing w:before="0" w:line="360" w:lineRule="auto"/>
        <w:ind w:left="0"/>
      </w:pPr>
      <w:r>
        <w:t>Reference</w:t>
      </w:r>
    </w:p>
    <w:p w14:paraId="0F100001" w14:textId="06666661" w:rsidR="007072FC" w:rsidRDefault="007072FC" w:rsidP="00E15534">
      <w:pPr>
        <w:pStyle w:val="Background"/>
        <w:spacing w:before="0" w:after="0" w:line="360" w:lineRule="auto"/>
        <w:jc w:val="left"/>
      </w:pPr>
      <w:r>
        <w:t xml:space="preserve">O’Neil-Pirozzi, T. M., Sevigny, M., Pinto, S. M., Hammond, F. M., &amp; Juengst, S. B. (2024). 10-year variability in high and low life satisfaction trajectories post-traumatic brain injury: A TBI model systems study. </w:t>
      </w:r>
      <w:r>
        <w:rPr>
          <w:i/>
        </w:rPr>
        <w:t>Brain Injury, 38</w:t>
      </w:r>
      <w:r>
        <w:t>(10), 796–806. https://doi.org/10.1080/02699052.2024.2347567</w:t>
      </w:r>
    </w:p>
    <w:p w14:paraId="3D46F7D7" w14:textId="3A591ABF" w:rsidR="00CB4C5B" w:rsidRPr="00317B84" w:rsidRDefault="007072FC" w:rsidP="00C15080">
      <w:pPr>
        <w:pStyle w:val="Heading3"/>
        <w:spacing w:before="0" w:line="360" w:lineRule="auto"/>
        <w:ind w:left="0"/>
      </w:pPr>
      <w:r>
        <w:t>Disclaimer</w:t>
      </w:r>
    </w:p>
    <w:p w14:paraId="4793F193" w14:textId="77777777" w:rsidR="009924B7" w:rsidRDefault="004C59F0" w:rsidP="00E15534">
      <w:pPr>
        <w:pStyle w:val="Background"/>
        <w:spacing w:before="0" w:after="0" w:line="360" w:lineRule="auto"/>
        <w:jc w:val="left"/>
      </w:pPr>
      <w:r>
        <w:rPr>
          <w:color w:val="000000" w:themeColor="text1"/>
        </w:rPr>
        <w:t>The contents of this quick review were developed under a grant from the National Institute on Disability, Independent Living, and Rehabilitation Research (NIDILRR grant number 90DPKT0009). NIDILRR is a Center within the Administration for Community Living (ACL), Department of Health and Human Services (HHS). The contents of this quick review do not necessarily represent the policy of NIDILRR, ACL, HHS, and you should not assume endorsement by the Federal Government.</w:t>
      </w:r>
      <w:r w:rsidR="009924B7" w:rsidRPr="009924B7">
        <w:t xml:space="preserve"> </w:t>
      </w:r>
    </w:p>
    <w:p w14:paraId="60EF1EAA" w14:textId="77777777" w:rsidR="009924B7" w:rsidRDefault="009924B7" w:rsidP="00E15534">
      <w:pPr>
        <w:pStyle w:val="Background"/>
        <w:spacing w:before="0" w:after="0" w:line="360" w:lineRule="auto"/>
        <w:jc w:val="left"/>
      </w:pPr>
    </w:p>
    <w:p w14:paraId="080EC9ED" w14:textId="11A7798F" w:rsidR="004C59F0" w:rsidRDefault="009924B7" w:rsidP="00E15534">
      <w:pPr>
        <w:pStyle w:val="Background"/>
        <w:spacing w:before="0" w:after="0" w:line="360" w:lineRule="auto"/>
        <w:jc w:val="left"/>
      </w:pPr>
      <w:r w:rsidRPr="009924B7">
        <w:rPr>
          <w:color w:val="000000" w:themeColor="text1"/>
        </w:rPr>
        <w:t>The content of this Quick Review was generated and edited using Claude and Microsoft Co-Pilot and was carefully reviewed and edited by experts to ensure accuracy.</w:t>
      </w:r>
    </w:p>
    <w:p w14:paraId="18917B42" w14:textId="77777777" w:rsidR="004C59F0" w:rsidRPr="004C59F0" w:rsidRDefault="004C59F0" w:rsidP="00E15534">
      <w:pPr>
        <w:spacing w:before="0" w:after="0" w:line="360" w:lineRule="auto"/>
      </w:pPr>
    </w:p>
    <w:p w14:paraId="46EA7D9A" w14:textId="77777777" w:rsidR="004C59F0" w:rsidRPr="004C59F0" w:rsidRDefault="004C59F0" w:rsidP="00E15534">
      <w:pPr>
        <w:spacing w:before="0" w:after="0" w:line="360" w:lineRule="auto"/>
      </w:pPr>
    </w:p>
    <w:p w14:paraId="5B46F4A4" w14:textId="77777777" w:rsidR="004C59F0" w:rsidRPr="004C59F0" w:rsidRDefault="004C59F0" w:rsidP="00E15534">
      <w:pPr>
        <w:spacing w:before="0" w:after="0" w:line="360" w:lineRule="auto"/>
      </w:pPr>
    </w:p>
    <w:p w14:paraId="68F2E363" w14:textId="77777777" w:rsidR="00615CAD" w:rsidRPr="004C59F0" w:rsidRDefault="00615CAD" w:rsidP="00E15534">
      <w:pPr>
        <w:spacing w:before="0" w:after="0" w:line="360" w:lineRule="auto"/>
      </w:pPr>
    </w:p>
    <w:sectPr w:rsidR="00615CAD" w:rsidRPr="004C59F0"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2FD0" w14:textId="77777777" w:rsidR="00315B50" w:rsidRDefault="00315B50">
      <w:pPr>
        <w:spacing w:before="0" w:after="0" w:line="240" w:lineRule="auto"/>
      </w:pPr>
      <w:r>
        <w:separator/>
      </w:r>
    </w:p>
  </w:endnote>
  <w:endnote w:type="continuationSeparator" w:id="0">
    <w:p w14:paraId="55E50AAD" w14:textId="77777777" w:rsidR="00315B50" w:rsidRDefault="00315B50">
      <w:pPr>
        <w:spacing w:before="0" w:after="0" w:line="240" w:lineRule="auto"/>
      </w:pPr>
      <w:r>
        <w:continuationSeparator/>
      </w:r>
    </w:p>
  </w:endnote>
  <w:endnote w:type="continuationNotice" w:id="1">
    <w:p w14:paraId="3C479209" w14:textId="77777777" w:rsidR="00315B50" w:rsidRDefault="00315B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CFF" w14:textId="127B3455" w:rsidR="009154AD" w:rsidRPr="004C59F0" w:rsidRDefault="004C59F0" w:rsidP="00615CAD">
    <w:pPr>
      <w:pStyle w:val="Header"/>
      <w:shd w:val="clear" w:color="auto" w:fill="CA602C"/>
      <w:tabs>
        <w:tab w:val="left" w:pos="1710"/>
      </w:tabs>
      <w:spacing w:line="280" w:lineRule="exact"/>
      <w:ind w:left="-72" w:right="-72"/>
      <w:jc w:val="center"/>
      <w:rPr>
        <w:rFonts w:ascii="Arial" w:hAnsi="Arial" w:cs="Arial"/>
        <w:color w:val="FFFFFF" w:themeColor="background1"/>
        <w:sz w:val="20"/>
        <w:szCs w:val="20"/>
      </w:rPr>
    </w:pPr>
    <w:hyperlink r:id="rId1" w:history="1">
      <w:r w:rsidRPr="004C59F0">
        <w:rPr>
          <w:rStyle w:val="Hyperlink"/>
          <w:color w:val="FFFFFF" w:themeColor="background1"/>
          <w:u w:val="none"/>
        </w:rPr>
        <w:t>https://msktc.org/tbi</w:t>
      </w:r>
    </w:hyperlink>
    <w:r w:rsidRPr="004C59F0">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5E6D" w14:textId="77777777" w:rsidR="00315B50" w:rsidRPr="006C7FDE" w:rsidRDefault="00315B50" w:rsidP="006C7FDE">
      <w:pPr>
        <w:pStyle w:val="Footer"/>
      </w:pPr>
    </w:p>
  </w:footnote>
  <w:footnote w:type="continuationSeparator" w:id="0">
    <w:p w14:paraId="452C14D2" w14:textId="77777777" w:rsidR="00315B50" w:rsidRPr="006C7FDE" w:rsidRDefault="00315B50" w:rsidP="006C7FDE">
      <w:pPr>
        <w:pStyle w:val="Footer"/>
      </w:pPr>
    </w:p>
  </w:footnote>
  <w:footnote w:type="continuationNotice" w:id="1">
    <w:p w14:paraId="5494C336" w14:textId="77777777" w:rsidR="00315B50" w:rsidRDefault="00315B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F73D" w14:textId="77777777" w:rsidR="009154AD" w:rsidRPr="00282533" w:rsidRDefault="009154AD" w:rsidP="00B725C0">
    <w:pPr>
      <w:pStyle w:val="Header"/>
      <w:shd w:val="clear" w:color="auto" w:fill="1D4F90"/>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19"/>
    <w:multiLevelType w:val="hybridMultilevel"/>
    <w:tmpl w:val="342E0F6A"/>
    <w:lvl w:ilvl="0" w:tplc="933610EA">
      <w:start w:val="1"/>
      <w:numFmt w:val="bullet"/>
      <w:lvlText w:val=""/>
      <w:lvlJc w:val="left"/>
      <w:pPr>
        <w:ind w:left="720" w:hanging="360"/>
      </w:pPr>
      <w:rPr>
        <w:rFonts w:ascii="Symbol" w:hAnsi="Symbol"/>
      </w:rPr>
    </w:lvl>
    <w:lvl w:ilvl="1" w:tplc="2BDAC74A">
      <w:start w:val="1"/>
      <w:numFmt w:val="bullet"/>
      <w:lvlText w:val=""/>
      <w:lvlJc w:val="left"/>
      <w:pPr>
        <w:ind w:left="720" w:hanging="360"/>
      </w:pPr>
      <w:rPr>
        <w:rFonts w:ascii="Symbol" w:hAnsi="Symbol"/>
      </w:rPr>
    </w:lvl>
    <w:lvl w:ilvl="2" w:tplc="01567FD0">
      <w:start w:val="1"/>
      <w:numFmt w:val="bullet"/>
      <w:lvlText w:val=""/>
      <w:lvlJc w:val="left"/>
      <w:pPr>
        <w:ind w:left="720" w:hanging="360"/>
      </w:pPr>
      <w:rPr>
        <w:rFonts w:ascii="Symbol" w:hAnsi="Symbol"/>
      </w:rPr>
    </w:lvl>
    <w:lvl w:ilvl="3" w:tplc="CFAE0404">
      <w:start w:val="1"/>
      <w:numFmt w:val="bullet"/>
      <w:lvlText w:val=""/>
      <w:lvlJc w:val="left"/>
      <w:pPr>
        <w:ind w:left="720" w:hanging="360"/>
      </w:pPr>
      <w:rPr>
        <w:rFonts w:ascii="Symbol" w:hAnsi="Symbol"/>
      </w:rPr>
    </w:lvl>
    <w:lvl w:ilvl="4" w:tplc="8E3038A2">
      <w:start w:val="1"/>
      <w:numFmt w:val="bullet"/>
      <w:lvlText w:val=""/>
      <w:lvlJc w:val="left"/>
      <w:pPr>
        <w:ind w:left="720" w:hanging="360"/>
      </w:pPr>
      <w:rPr>
        <w:rFonts w:ascii="Symbol" w:hAnsi="Symbol"/>
      </w:rPr>
    </w:lvl>
    <w:lvl w:ilvl="5" w:tplc="EFD0BE5A">
      <w:start w:val="1"/>
      <w:numFmt w:val="bullet"/>
      <w:lvlText w:val=""/>
      <w:lvlJc w:val="left"/>
      <w:pPr>
        <w:ind w:left="720" w:hanging="360"/>
      </w:pPr>
      <w:rPr>
        <w:rFonts w:ascii="Symbol" w:hAnsi="Symbol"/>
      </w:rPr>
    </w:lvl>
    <w:lvl w:ilvl="6" w:tplc="25A0B25E">
      <w:start w:val="1"/>
      <w:numFmt w:val="bullet"/>
      <w:lvlText w:val=""/>
      <w:lvlJc w:val="left"/>
      <w:pPr>
        <w:ind w:left="720" w:hanging="360"/>
      </w:pPr>
      <w:rPr>
        <w:rFonts w:ascii="Symbol" w:hAnsi="Symbol"/>
      </w:rPr>
    </w:lvl>
    <w:lvl w:ilvl="7" w:tplc="71F2DD0C">
      <w:start w:val="1"/>
      <w:numFmt w:val="bullet"/>
      <w:lvlText w:val=""/>
      <w:lvlJc w:val="left"/>
      <w:pPr>
        <w:ind w:left="720" w:hanging="360"/>
      </w:pPr>
      <w:rPr>
        <w:rFonts w:ascii="Symbol" w:hAnsi="Symbol"/>
      </w:rPr>
    </w:lvl>
    <w:lvl w:ilvl="8" w:tplc="AADE7102">
      <w:start w:val="1"/>
      <w:numFmt w:val="bullet"/>
      <w:lvlText w:val=""/>
      <w:lvlJc w:val="left"/>
      <w:pPr>
        <w:ind w:left="720" w:hanging="360"/>
      </w:pPr>
      <w:rPr>
        <w:rFonts w:ascii="Symbol" w:hAnsi="Symbol"/>
      </w:rPr>
    </w:lvl>
  </w:abstractNum>
  <w:abstractNum w:abstractNumId="1" w15:restartNumberingAfterBreak="0">
    <w:nsid w:val="1ED75784"/>
    <w:multiLevelType w:val="hybridMultilevel"/>
    <w:tmpl w:val="44A0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B55DF"/>
    <w:multiLevelType w:val="hybridMultilevel"/>
    <w:tmpl w:val="453C9E94"/>
    <w:lvl w:ilvl="0" w:tplc="1C043076">
      <w:start w:val="1"/>
      <w:numFmt w:val="bullet"/>
      <w:lvlText w:val=""/>
      <w:lvlJc w:val="left"/>
      <w:pPr>
        <w:ind w:left="720" w:hanging="360"/>
      </w:pPr>
      <w:rPr>
        <w:rFonts w:ascii="Symbol" w:hAnsi="Symbol"/>
      </w:rPr>
    </w:lvl>
    <w:lvl w:ilvl="1" w:tplc="6E6EF2D6">
      <w:start w:val="1"/>
      <w:numFmt w:val="bullet"/>
      <w:lvlText w:val=""/>
      <w:lvlJc w:val="left"/>
      <w:pPr>
        <w:ind w:left="720" w:hanging="360"/>
      </w:pPr>
      <w:rPr>
        <w:rFonts w:ascii="Symbol" w:hAnsi="Symbol"/>
      </w:rPr>
    </w:lvl>
    <w:lvl w:ilvl="2" w:tplc="9E2A24BA">
      <w:start w:val="1"/>
      <w:numFmt w:val="bullet"/>
      <w:lvlText w:val=""/>
      <w:lvlJc w:val="left"/>
      <w:pPr>
        <w:ind w:left="720" w:hanging="360"/>
      </w:pPr>
      <w:rPr>
        <w:rFonts w:ascii="Symbol" w:hAnsi="Symbol"/>
      </w:rPr>
    </w:lvl>
    <w:lvl w:ilvl="3" w:tplc="547205C8">
      <w:start w:val="1"/>
      <w:numFmt w:val="bullet"/>
      <w:lvlText w:val=""/>
      <w:lvlJc w:val="left"/>
      <w:pPr>
        <w:ind w:left="720" w:hanging="360"/>
      </w:pPr>
      <w:rPr>
        <w:rFonts w:ascii="Symbol" w:hAnsi="Symbol"/>
      </w:rPr>
    </w:lvl>
    <w:lvl w:ilvl="4" w:tplc="481494CA">
      <w:start w:val="1"/>
      <w:numFmt w:val="bullet"/>
      <w:lvlText w:val=""/>
      <w:lvlJc w:val="left"/>
      <w:pPr>
        <w:ind w:left="720" w:hanging="360"/>
      </w:pPr>
      <w:rPr>
        <w:rFonts w:ascii="Symbol" w:hAnsi="Symbol"/>
      </w:rPr>
    </w:lvl>
    <w:lvl w:ilvl="5" w:tplc="888CED36">
      <w:start w:val="1"/>
      <w:numFmt w:val="bullet"/>
      <w:lvlText w:val=""/>
      <w:lvlJc w:val="left"/>
      <w:pPr>
        <w:ind w:left="720" w:hanging="360"/>
      </w:pPr>
      <w:rPr>
        <w:rFonts w:ascii="Symbol" w:hAnsi="Symbol"/>
      </w:rPr>
    </w:lvl>
    <w:lvl w:ilvl="6" w:tplc="E9D8B880">
      <w:start w:val="1"/>
      <w:numFmt w:val="bullet"/>
      <w:lvlText w:val=""/>
      <w:lvlJc w:val="left"/>
      <w:pPr>
        <w:ind w:left="720" w:hanging="360"/>
      </w:pPr>
      <w:rPr>
        <w:rFonts w:ascii="Symbol" w:hAnsi="Symbol"/>
      </w:rPr>
    </w:lvl>
    <w:lvl w:ilvl="7" w:tplc="81D40312">
      <w:start w:val="1"/>
      <w:numFmt w:val="bullet"/>
      <w:lvlText w:val=""/>
      <w:lvlJc w:val="left"/>
      <w:pPr>
        <w:ind w:left="720" w:hanging="360"/>
      </w:pPr>
      <w:rPr>
        <w:rFonts w:ascii="Symbol" w:hAnsi="Symbol"/>
      </w:rPr>
    </w:lvl>
    <w:lvl w:ilvl="8" w:tplc="410245D0">
      <w:start w:val="1"/>
      <w:numFmt w:val="bullet"/>
      <w:lvlText w:val=""/>
      <w:lvlJc w:val="left"/>
      <w:pPr>
        <w:ind w:left="720" w:hanging="360"/>
      </w:pPr>
      <w:rPr>
        <w:rFonts w:ascii="Symbol" w:hAnsi="Symbol"/>
      </w:rPr>
    </w:lvl>
  </w:abstractNum>
  <w:abstractNum w:abstractNumId="3" w15:restartNumberingAfterBreak="0">
    <w:nsid w:val="282D0E4C"/>
    <w:multiLevelType w:val="hybridMultilevel"/>
    <w:tmpl w:val="6F1284CA"/>
    <w:lvl w:ilvl="0" w:tplc="DB5A8A12">
      <w:start w:val="1"/>
      <w:numFmt w:val="decimal"/>
      <w:lvlText w:val="%1."/>
      <w:lvlJc w:val="left"/>
      <w:pPr>
        <w:ind w:left="720" w:hanging="360"/>
      </w:pPr>
    </w:lvl>
    <w:lvl w:ilvl="1" w:tplc="5AC810E8">
      <w:start w:val="1"/>
      <w:numFmt w:val="decimal"/>
      <w:lvlText w:val="%2."/>
      <w:lvlJc w:val="left"/>
      <w:pPr>
        <w:ind w:left="720" w:hanging="360"/>
      </w:pPr>
    </w:lvl>
    <w:lvl w:ilvl="2" w:tplc="0570D77A">
      <w:start w:val="1"/>
      <w:numFmt w:val="decimal"/>
      <w:lvlText w:val="%3."/>
      <w:lvlJc w:val="left"/>
      <w:pPr>
        <w:ind w:left="720" w:hanging="360"/>
      </w:pPr>
    </w:lvl>
    <w:lvl w:ilvl="3" w:tplc="DDCA3CF6">
      <w:start w:val="1"/>
      <w:numFmt w:val="decimal"/>
      <w:lvlText w:val="%4."/>
      <w:lvlJc w:val="left"/>
      <w:pPr>
        <w:ind w:left="720" w:hanging="360"/>
      </w:pPr>
    </w:lvl>
    <w:lvl w:ilvl="4" w:tplc="1D6AE654">
      <w:start w:val="1"/>
      <w:numFmt w:val="decimal"/>
      <w:lvlText w:val="%5."/>
      <w:lvlJc w:val="left"/>
      <w:pPr>
        <w:ind w:left="720" w:hanging="360"/>
      </w:pPr>
    </w:lvl>
    <w:lvl w:ilvl="5" w:tplc="C6044146">
      <w:start w:val="1"/>
      <w:numFmt w:val="decimal"/>
      <w:lvlText w:val="%6."/>
      <w:lvlJc w:val="left"/>
      <w:pPr>
        <w:ind w:left="720" w:hanging="360"/>
      </w:pPr>
    </w:lvl>
    <w:lvl w:ilvl="6" w:tplc="94FE471C">
      <w:start w:val="1"/>
      <w:numFmt w:val="decimal"/>
      <w:lvlText w:val="%7."/>
      <w:lvlJc w:val="left"/>
      <w:pPr>
        <w:ind w:left="720" w:hanging="360"/>
      </w:pPr>
    </w:lvl>
    <w:lvl w:ilvl="7" w:tplc="7E0AB898">
      <w:start w:val="1"/>
      <w:numFmt w:val="decimal"/>
      <w:lvlText w:val="%8."/>
      <w:lvlJc w:val="left"/>
      <w:pPr>
        <w:ind w:left="720" w:hanging="360"/>
      </w:pPr>
    </w:lvl>
    <w:lvl w:ilvl="8" w:tplc="160ABF80">
      <w:start w:val="1"/>
      <w:numFmt w:val="decimal"/>
      <w:lvlText w:val="%9."/>
      <w:lvlJc w:val="left"/>
      <w:pPr>
        <w:ind w:left="720" w:hanging="360"/>
      </w:pPr>
    </w:lvl>
  </w:abstractNum>
  <w:abstractNum w:abstractNumId="4"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F2C15"/>
    <w:multiLevelType w:val="hybridMultilevel"/>
    <w:tmpl w:val="C9E4A496"/>
    <w:lvl w:ilvl="0" w:tplc="75F812A6">
      <w:start w:val="1"/>
      <w:numFmt w:val="decimal"/>
      <w:lvlText w:val="%1."/>
      <w:lvlJc w:val="left"/>
      <w:pPr>
        <w:ind w:left="720" w:hanging="360"/>
      </w:pPr>
    </w:lvl>
    <w:lvl w:ilvl="1" w:tplc="EA0A405E">
      <w:start w:val="1"/>
      <w:numFmt w:val="decimal"/>
      <w:lvlText w:val="%2."/>
      <w:lvlJc w:val="left"/>
      <w:pPr>
        <w:ind w:left="720" w:hanging="360"/>
      </w:pPr>
    </w:lvl>
    <w:lvl w:ilvl="2" w:tplc="B52A8652">
      <w:start w:val="1"/>
      <w:numFmt w:val="decimal"/>
      <w:lvlText w:val="%3."/>
      <w:lvlJc w:val="left"/>
      <w:pPr>
        <w:ind w:left="720" w:hanging="360"/>
      </w:pPr>
    </w:lvl>
    <w:lvl w:ilvl="3" w:tplc="7E2CE0B0">
      <w:start w:val="1"/>
      <w:numFmt w:val="decimal"/>
      <w:lvlText w:val="%4."/>
      <w:lvlJc w:val="left"/>
      <w:pPr>
        <w:ind w:left="720" w:hanging="360"/>
      </w:pPr>
    </w:lvl>
    <w:lvl w:ilvl="4" w:tplc="5AAAC8AA">
      <w:start w:val="1"/>
      <w:numFmt w:val="decimal"/>
      <w:lvlText w:val="%5."/>
      <w:lvlJc w:val="left"/>
      <w:pPr>
        <w:ind w:left="720" w:hanging="360"/>
      </w:pPr>
    </w:lvl>
    <w:lvl w:ilvl="5" w:tplc="A3187C92">
      <w:start w:val="1"/>
      <w:numFmt w:val="decimal"/>
      <w:lvlText w:val="%6."/>
      <w:lvlJc w:val="left"/>
      <w:pPr>
        <w:ind w:left="720" w:hanging="360"/>
      </w:pPr>
    </w:lvl>
    <w:lvl w:ilvl="6" w:tplc="819E158E">
      <w:start w:val="1"/>
      <w:numFmt w:val="decimal"/>
      <w:lvlText w:val="%7."/>
      <w:lvlJc w:val="left"/>
      <w:pPr>
        <w:ind w:left="720" w:hanging="360"/>
      </w:pPr>
    </w:lvl>
    <w:lvl w:ilvl="7" w:tplc="4DB819B2">
      <w:start w:val="1"/>
      <w:numFmt w:val="decimal"/>
      <w:lvlText w:val="%8."/>
      <w:lvlJc w:val="left"/>
      <w:pPr>
        <w:ind w:left="720" w:hanging="360"/>
      </w:pPr>
    </w:lvl>
    <w:lvl w:ilvl="8" w:tplc="0CA226BE">
      <w:start w:val="1"/>
      <w:numFmt w:val="decimal"/>
      <w:lvlText w:val="%9."/>
      <w:lvlJc w:val="left"/>
      <w:pPr>
        <w:ind w:left="720" w:hanging="360"/>
      </w:pPr>
    </w:lvl>
  </w:abstractNum>
  <w:abstractNum w:abstractNumId="6"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5E28"/>
    <w:multiLevelType w:val="hybridMultilevel"/>
    <w:tmpl w:val="02EA08A8"/>
    <w:lvl w:ilvl="0" w:tplc="987664D6">
      <w:start w:val="1"/>
      <w:numFmt w:val="decimal"/>
      <w:lvlText w:val="%1."/>
      <w:lvlJc w:val="left"/>
      <w:pPr>
        <w:ind w:left="720" w:hanging="360"/>
      </w:pPr>
    </w:lvl>
    <w:lvl w:ilvl="1" w:tplc="CCE4E374">
      <w:start w:val="1"/>
      <w:numFmt w:val="decimal"/>
      <w:lvlText w:val="%2."/>
      <w:lvlJc w:val="left"/>
      <w:pPr>
        <w:ind w:left="720" w:hanging="360"/>
      </w:pPr>
    </w:lvl>
    <w:lvl w:ilvl="2" w:tplc="5C9070DC">
      <w:start w:val="1"/>
      <w:numFmt w:val="decimal"/>
      <w:lvlText w:val="%3."/>
      <w:lvlJc w:val="left"/>
      <w:pPr>
        <w:ind w:left="720" w:hanging="360"/>
      </w:pPr>
    </w:lvl>
    <w:lvl w:ilvl="3" w:tplc="4754D6C0">
      <w:start w:val="1"/>
      <w:numFmt w:val="decimal"/>
      <w:lvlText w:val="%4."/>
      <w:lvlJc w:val="left"/>
      <w:pPr>
        <w:ind w:left="720" w:hanging="360"/>
      </w:pPr>
    </w:lvl>
    <w:lvl w:ilvl="4" w:tplc="FD1A9112">
      <w:start w:val="1"/>
      <w:numFmt w:val="decimal"/>
      <w:lvlText w:val="%5."/>
      <w:lvlJc w:val="left"/>
      <w:pPr>
        <w:ind w:left="720" w:hanging="360"/>
      </w:pPr>
    </w:lvl>
    <w:lvl w:ilvl="5" w:tplc="F26EEC74">
      <w:start w:val="1"/>
      <w:numFmt w:val="decimal"/>
      <w:lvlText w:val="%6."/>
      <w:lvlJc w:val="left"/>
      <w:pPr>
        <w:ind w:left="720" w:hanging="360"/>
      </w:pPr>
    </w:lvl>
    <w:lvl w:ilvl="6" w:tplc="D36EC358">
      <w:start w:val="1"/>
      <w:numFmt w:val="decimal"/>
      <w:lvlText w:val="%7."/>
      <w:lvlJc w:val="left"/>
      <w:pPr>
        <w:ind w:left="720" w:hanging="360"/>
      </w:pPr>
    </w:lvl>
    <w:lvl w:ilvl="7" w:tplc="8B34C62C">
      <w:start w:val="1"/>
      <w:numFmt w:val="decimal"/>
      <w:lvlText w:val="%8."/>
      <w:lvlJc w:val="left"/>
      <w:pPr>
        <w:ind w:left="720" w:hanging="360"/>
      </w:pPr>
    </w:lvl>
    <w:lvl w:ilvl="8" w:tplc="2D9E71A8">
      <w:start w:val="1"/>
      <w:numFmt w:val="decimal"/>
      <w:lvlText w:val="%9."/>
      <w:lvlJc w:val="left"/>
      <w:pPr>
        <w:ind w:left="720" w:hanging="360"/>
      </w:pPr>
    </w:lvl>
  </w:abstractNum>
  <w:abstractNum w:abstractNumId="8" w15:restartNumberingAfterBreak="0">
    <w:nsid w:val="625224F2"/>
    <w:multiLevelType w:val="hybridMultilevel"/>
    <w:tmpl w:val="1A708B6E"/>
    <w:lvl w:ilvl="0" w:tplc="8EF6D7FE">
      <w:start w:val="1"/>
      <w:numFmt w:val="decimal"/>
      <w:lvlText w:val="%1."/>
      <w:lvlJc w:val="left"/>
      <w:pPr>
        <w:ind w:left="720" w:hanging="360"/>
      </w:pPr>
    </w:lvl>
    <w:lvl w:ilvl="1" w:tplc="BDB210C8">
      <w:start w:val="1"/>
      <w:numFmt w:val="decimal"/>
      <w:lvlText w:val="%2."/>
      <w:lvlJc w:val="left"/>
      <w:pPr>
        <w:ind w:left="720" w:hanging="360"/>
      </w:pPr>
    </w:lvl>
    <w:lvl w:ilvl="2" w:tplc="315AB3D6">
      <w:start w:val="1"/>
      <w:numFmt w:val="decimal"/>
      <w:lvlText w:val="%3."/>
      <w:lvlJc w:val="left"/>
      <w:pPr>
        <w:ind w:left="720" w:hanging="360"/>
      </w:pPr>
    </w:lvl>
    <w:lvl w:ilvl="3" w:tplc="C390E51A">
      <w:start w:val="1"/>
      <w:numFmt w:val="decimal"/>
      <w:lvlText w:val="%4."/>
      <w:lvlJc w:val="left"/>
      <w:pPr>
        <w:ind w:left="720" w:hanging="360"/>
      </w:pPr>
    </w:lvl>
    <w:lvl w:ilvl="4" w:tplc="A08EF9B6">
      <w:start w:val="1"/>
      <w:numFmt w:val="decimal"/>
      <w:lvlText w:val="%5."/>
      <w:lvlJc w:val="left"/>
      <w:pPr>
        <w:ind w:left="720" w:hanging="360"/>
      </w:pPr>
    </w:lvl>
    <w:lvl w:ilvl="5" w:tplc="410E0496">
      <w:start w:val="1"/>
      <w:numFmt w:val="decimal"/>
      <w:lvlText w:val="%6."/>
      <w:lvlJc w:val="left"/>
      <w:pPr>
        <w:ind w:left="720" w:hanging="360"/>
      </w:pPr>
    </w:lvl>
    <w:lvl w:ilvl="6" w:tplc="5DA02326">
      <w:start w:val="1"/>
      <w:numFmt w:val="decimal"/>
      <w:lvlText w:val="%7."/>
      <w:lvlJc w:val="left"/>
      <w:pPr>
        <w:ind w:left="720" w:hanging="360"/>
      </w:pPr>
    </w:lvl>
    <w:lvl w:ilvl="7" w:tplc="EDD6D2DA">
      <w:start w:val="1"/>
      <w:numFmt w:val="decimal"/>
      <w:lvlText w:val="%8."/>
      <w:lvlJc w:val="left"/>
      <w:pPr>
        <w:ind w:left="720" w:hanging="360"/>
      </w:pPr>
    </w:lvl>
    <w:lvl w:ilvl="8" w:tplc="B6B83F5A">
      <w:start w:val="1"/>
      <w:numFmt w:val="decimal"/>
      <w:lvlText w:val="%9."/>
      <w:lvlJc w:val="left"/>
      <w:pPr>
        <w:ind w:left="720" w:hanging="360"/>
      </w:pPr>
    </w:lvl>
  </w:abstractNum>
  <w:abstractNum w:abstractNumId="9" w15:restartNumberingAfterBreak="0">
    <w:nsid w:val="6A516BFD"/>
    <w:multiLevelType w:val="hybridMultilevel"/>
    <w:tmpl w:val="2878E61E"/>
    <w:lvl w:ilvl="0" w:tplc="AD8E8CE2">
      <w:start w:val="1"/>
      <w:numFmt w:val="decimal"/>
      <w:lvlText w:val="%1."/>
      <w:lvlJc w:val="left"/>
      <w:pPr>
        <w:ind w:left="720" w:hanging="360"/>
      </w:pPr>
    </w:lvl>
    <w:lvl w:ilvl="1" w:tplc="238AACC2">
      <w:start w:val="1"/>
      <w:numFmt w:val="decimal"/>
      <w:lvlText w:val="%2."/>
      <w:lvlJc w:val="left"/>
      <w:pPr>
        <w:ind w:left="720" w:hanging="360"/>
      </w:pPr>
    </w:lvl>
    <w:lvl w:ilvl="2" w:tplc="2A7C4000">
      <w:start w:val="1"/>
      <w:numFmt w:val="decimal"/>
      <w:lvlText w:val="%3."/>
      <w:lvlJc w:val="left"/>
      <w:pPr>
        <w:ind w:left="720" w:hanging="360"/>
      </w:pPr>
    </w:lvl>
    <w:lvl w:ilvl="3" w:tplc="BFD25A58">
      <w:start w:val="1"/>
      <w:numFmt w:val="decimal"/>
      <w:lvlText w:val="%4."/>
      <w:lvlJc w:val="left"/>
      <w:pPr>
        <w:ind w:left="720" w:hanging="360"/>
      </w:pPr>
    </w:lvl>
    <w:lvl w:ilvl="4" w:tplc="467A10D6">
      <w:start w:val="1"/>
      <w:numFmt w:val="decimal"/>
      <w:lvlText w:val="%5."/>
      <w:lvlJc w:val="left"/>
      <w:pPr>
        <w:ind w:left="720" w:hanging="360"/>
      </w:pPr>
    </w:lvl>
    <w:lvl w:ilvl="5" w:tplc="2B860140">
      <w:start w:val="1"/>
      <w:numFmt w:val="decimal"/>
      <w:lvlText w:val="%6."/>
      <w:lvlJc w:val="left"/>
      <w:pPr>
        <w:ind w:left="720" w:hanging="360"/>
      </w:pPr>
    </w:lvl>
    <w:lvl w:ilvl="6" w:tplc="71844DF4">
      <w:start w:val="1"/>
      <w:numFmt w:val="decimal"/>
      <w:lvlText w:val="%7."/>
      <w:lvlJc w:val="left"/>
      <w:pPr>
        <w:ind w:left="720" w:hanging="360"/>
      </w:pPr>
    </w:lvl>
    <w:lvl w:ilvl="7" w:tplc="DDC6B3E6">
      <w:start w:val="1"/>
      <w:numFmt w:val="decimal"/>
      <w:lvlText w:val="%8."/>
      <w:lvlJc w:val="left"/>
      <w:pPr>
        <w:ind w:left="720" w:hanging="360"/>
      </w:pPr>
    </w:lvl>
    <w:lvl w:ilvl="8" w:tplc="F2A2BDD0">
      <w:start w:val="1"/>
      <w:numFmt w:val="decimal"/>
      <w:lvlText w:val="%9."/>
      <w:lvlJc w:val="left"/>
      <w:pPr>
        <w:ind w:left="720" w:hanging="360"/>
      </w:pPr>
    </w:lvl>
  </w:abstractNum>
  <w:abstractNum w:abstractNumId="10" w15:restartNumberingAfterBreak="0">
    <w:nsid w:val="6D3C53F5"/>
    <w:multiLevelType w:val="hybridMultilevel"/>
    <w:tmpl w:val="6B8415E6"/>
    <w:lvl w:ilvl="0" w:tplc="57A0ED4A">
      <w:start w:val="1"/>
      <w:numFmt w:val="decimal"/>
      <w:lvlText w:val="%1."/>
      <w:lvlJc w:val="left"/>
      <w:pPr>
        <w:ind w:left="720" w:hanging="360"/>
      </w:pPr>
    </w:lvl>
    <w:lvl w:ilvl="1" w:tplc="F80A2318">
      <w:start w:val="1"/>
      <w:numFmt w:val="decimal"/>
      <w:lvlText w:val="%2."/>
      <w:lvlJc w:val="left"/>
      <w:pPr>
        <w:ind w:left="720" w:hanging="360"/>
      </w:pPr>
    </w:lvl>
    <w:lvl w:ilvl="2" w:tplc="A9246742">
      <w:start w:val="1"/>
      <w:numFmt w:val="decimal"/>
      <w:lvlText w:val="%3."/>
      <w:lvlJc w:val="left"/>
      <w:pPr>
        <w:ind w:left="720" w:hanging="360"/>
      </w:pPr>
    </w:lvl>
    <w:lvl w:ilvl="3" w:tplc="EA46232C">
      <w:start w:val="1"/>
      <w:numFmt w:val="decimal"/>
      <w:lvlText w:val="%4."/>
      <w:lvlJc w:val="left"/>
      <w:pPr>
        <w:ind w:left="720" w:hanging="360"/>
      </w:pPr>
    </w:lvl>
    <w:lvl w:ilvl="4" w:tplc="9E548358">
      <w:start w:val="1"/>
      <w:numFmt w:val="decimal"/>
      <w:lvlText w:val="%5."/>
      <w:lvlJc w:val="left"/>
      <w:pPr>
        <w:ind w:left="720" w:hanging="360"/>
      </w:pPr>
    </w:lvl>
    <w:lvl w:ilvl="5" w:tplc="2B8E6810">
      <w:start w:val="1"/>
      <w:numFmt w:val="decimal"/>
      <w:lvlText w:val="%6."/>
      <w:lvlJc w:val="left"/>
      <w:pPr>
        <w:ind w:left="720" w:hanging="360"/>
      </w:pPr>
    </w:lvl>
    <w:lvl w:ilvl="6" w:tplc="89E48456">
      <w:start w:val="1"/>
      <w:numFmt w:val="decimal"/>
      <w:lvlText w:val="%7."/>
      <w:lvlJc w:val="left"/>
      <w:pPr>
        <w:ind w:left="720" w:hanging="360"/>
      </w:pPr>
    </w:lvl>
    <w:lvl w:ilvl="7" w:tplc="7ABAA8DC">
      <w:start w:val="1"/>
      <w:numFmt w:val="decimal"/>
      <w:lvlText w:val="%8."/>
      <w:lvlJc w:val="left"/>
      <w:pPr>
        <w:ind w:left="720" w:hanging="360"/>
      </w:pPr>
    </w:lvl>
    <w:lvl w:ilvl="8" w:tplc="94D66412">
      <w:start w:val="1"/>
      <w:numFmt w:val="decimal"/>
      <w:lvlText w:val="%9."/>
      <w:lvlJc w:val="left"/>
      <w:pPr>
        <w:ind w:left="720" w:hanging="360"/>
      </w:pPr>
    </w:lvl>
  </w:abstractNum>
  <w:abstractNum w:abstractNumId="11" w15:restartNumberingAfterBreak="0">
    <w:nsid w:val="77030421"/>
    <w:multiLevelType w:val="hybridMultilevel"/>
    <w:tmpl w:val="0672C6F6"/>
    <w:lvl w:ilvl="0" w:tplc="64601122">
      <w:start w:val="1"/>
      <w:numFmt w:val="bullet"/>
      <w:lvlText w:val=""/>
      <w:lvlJc w:val="left"/>
      <w:pPr>
        <w:ind w:left="720" w:hanging="360"/>
      </w:pPr>
      <w:rPr>
        <w:rFonts w:ascii="Symbol" w:hAnsi="Symbol"/>
      </w:rPr>
    </w:lvl>
    <w:lvl w:ilvl="1" w:tplc="B7F26F6C">
      <w:start w:val="1"/>
      <w:numFmt w:val="bullet"/>
      <w:lvlText w:val=""/>
      <w:lvlJc w:val="left"/>
      <w:pPr>
        <w:ind w:left="720" w:hanging="360"/>
      </w:pPr>
      <w:rPr>
        <w:rFonts w:ascii="Symbol" w:hAnsi="Symbol"/>
      </w:rPr>
    </w:lvl>
    <w:lvl w:ilvl="2" w:tplc="20188C4A">
      <w:start w:val="1"/>
      <w:numFmt w:val="bullet"/>
      <w:lvlText w:val=""/>
      <w:lvlJc w:val="left"/>
      <w:pPr>
        <w:ind w:left="720" w:hanging="360"/>
      </w:pPr>
      <w:rPr>
        <w:rFonts w:ascii="Symbol" w:hAnsi="Symbol"/>
      </w:rPr>
    </w:lvl>
    <w:lvl w:ilvl="3" w:tplc="59661304">
      <w:start w:val="1"/>
      <w:numFmt w:val="bullet"/>
      <w:lvlText w:val=""/>
      <w:lvlJc w:val="left"/>
      <w:pPr>
        <w:ind w:left="720" w:hanging="360"/>
      </w:pPr>
      <w:rPr>
        <w:rFonts w:ascii="Symbol" w:hAnsi="Symbol"/>
      </w:rPr>
    </w:lvl>
    <w:lvl w:ilvl="4" w:tplc="E31A18FA">
      <w:start w:val="1"/>
      <w:numFmt w:val="bullet"/>
      <w:lvlText w:val=""/>
      <w:lvlJc w:val="left"/>
      <w:pPr>
        <w:ind w:left="720" w:hanging="360"/>
      </w:pPr>
      <w:rPr>
        <w:rFonts w:ascii="Symbol" w:hAnsi="Symbol"/>
      </w:rPr>
    </w:lvl>
    <w:lvl w:ilvl="5" w:tplc="B86C796E">
      <w:start w:val="1"/>
      <w:numFmt w:val="bullet"/>
      <w:lvlText w:val=""/>
      <w:lvlJc w:val="left"/>
      <w:pPr>
        <w:ind w:left="720" w:hanging="360"/>
      </w:pPr>
      <w:rPr>
        <w:rFonts w:ascii="Symbol" w:hAnsi="Symbol"/>
      </w:rPr>
    </w:lvl>
    <w:lvl w:ilvl="6" w:tplc="D304F498">
      <w:start w:val="1"/>
      <w:numFmt w:val="bullet"/>
      <w:lvlText w:val=""/>
      <w:lvlJc w:val="left"/>
      <w:pPr>
        <w:ind w:left="720" w:hanging="360"/>
      </w:pPr>
      <w:rPr>
        <w:rFonts w:ascii="Symbol" w:hAnsi="Symbol"/>
      </w:rPr>
    </w:lvl>
    <w:lvl w:ilvl="7" w:tplc="2D8A91B4">
      <w:start w:val="1"/>
      <w:numFmt w:val="bullet"/>
      <w:lvlText w:val=""/>
      <w:lvlJc w:val="left"/>
      <w:pPr>
        <w:ind w:left="720" w:hanging="360"/>
      </w:pPr>
      <w:rPr>
        <w:rFonts w:ascii="Symbol" w:hAnsi="Symbol"/>
      </w:rPr>
    </w:lvl>
    <w:lvl w:ilvl="8" w:tplc="19CAB892">
      <w:start w:val="1"/>
      <w:numFmt w:val="bullet"/>
      <w:lvlText w:val=""/>
      <w:lvlJc w:val="left"/>
      <w:pPr>
        <w:ind w:left="720" w:hanging="360"/>
      </w:pPr>
      <w:rPr>
        <w:rFonts w:ascii="Symbol" w:hAnsi="Symbol"/>
      </w:rPr>
    </w:lvl>
  </w:abstractNum>
  <w:num w:numId="1" w16cid:durableId="1984234065">
    <w:abstractNumId w:val="4"/>
  </w:num>
  <w:num w:numId="2" w16cid:durableId="397364771">
    <w:abstractNumId w:val="6"/>
  </w:num>
  <w:num w:numId="3" w16cid:durableId="628780623">
    <w:abstractNumId w:val="9"/>
  </w:num>
  <w:num w:numId="4" w16cid:durableId="1190679782">
    <w:abstractNumId w:val="2"/>
  </w:num>
  <w:num w:numId="5" w16cid:durableId="1666587499">
    <w:abstractNumId w:val="7"/>
  </w:num>
  <w:num w:numId="6" w16cid:durableId="797576697">
    <w:abstractNumId w:val="10"/>
  </w:num>
  <w:num w:numId="7" w16cid:durableId="1581520183">
    <w:abstractNumId w:val="0"/>
  </w:num>
  <w:num w:numId="8" w16cid:durableId="381514811">
    <w:abstractNumId w:val="3"/>
  </w:num>
  <w:num w:numId="9" w16cid:durableId="1438595953">
    <w:abstractNumId w:val="5"/>
  </w:num>
  <w:num w:numId="10" w16cid:durableId="455024604">
    <w:abstractNumId w:val="11"/>
  </w:num>
  <w:num w:numId="11" w16cid:durableId="1585871814">
    <w:abstractNumId w:val="8"/>
  </w:num>
  <w:num w:numId="12" w16cid:durableId="110854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DB"/>
    <w:rsid w:val="00012BD6"/>
    <w:rsid w:val="000268DB"/>
    <w:rsid w:val="00040F2A"/>
    <w:rsid w:val="0004123D"/>
    <w:rsid w:val="00057592"/>
    <w:rsid w:val="0007334C"/>
    <w:rsid w:val="00080047"/>
    <w:rsid w:val="000B1BE7"/>
    <w:rsid w:val="000C63F6"/>
    <w:rsid w:val="000F7DA6"/>
    <w:rsid w:val="00101253"/>
    <w:rsid w:val="00105E82"/>
    <w:rsid w:val="00113EDB"/>
    <w:rsid w:val="00117A90"/>
    <w:rsid w:val="00127E75"/>
    <w:rsid w:val="001337EF"/>
    <w:rsid w:val="00147988"/>
    <w:rsid w:val="00157858"/>
    <w:rsid w:val="001725AA"/>
    <w:rsid w:val="00183D6A"/>
    <w:rsid w:val="001B4D9E"/>
    <w:rsid w:val="001D2DE7"/>
    <w:rsid w:val="001D3A80"/>
    <w:rsid w:val="001E236C"/>
    <w:rsid w:val="001F5587"/>
    <w:rsid w:val="00254C38"/>
    <w:rsid w:val="00264ECC"/>
    <w:rsid w:val="00265ED2"/>
    <w:rsid w:val="00270784"/>
    <w:rsid w:val="002730BC"/>
    <w:rsid w:val="002A5E48"/>
    <w:rsid w:val="002A7453"/>
    <w:rsid w:val="002B097A"/>
    <w:rsid w:val="002B0E1E"/>
    <w:rsid w:val="002E3CBE"/>
    <w:rsid w:val="002E5577"/>
    <w:rsid w:val="002F70B2"/>
    <w:rsid w:val="003074BB"/>
    <w:rsid w:val="00315B50"/>
    <w:rsid w:val="00317B84"/>
    <w:rsid w:val="00321A6B"/>
    <w:rsid w:val="00322FCA"/>
    <w:rsid w:val="00346CD8"/>
    <w:rsid w:val="00380DCF"/>
    <w:rsid w:val="00381201"/>
    <w:rsid w:val="003812EA"/>
    <w:rsid w:val="00387B3F"/>
    <w:rsid w:val="003D451D"/>
    <w:rsid w:val="003D5570"/>
    <w:rsid w:val="00423930"/>
    <w:rsid w:val="0043355B"/>
    <w:rsid w:val="00445D1A"/>
    <w:rsid w:val="004663F7"/>
    <w:rsid w:val="004709C0"/>
    <w:rsid w:val="00486F57"/>
    <w:rsid w:val="004B3B8B"/>
    <w:rsid w:val="004B53C9"/>
    <w:rsid w:val="004B71D3"/>
    <w:rsid w:val="004C59F0"/>
    <w:rsid w:val="004C6036"/>
    <w:rsid w:val="004F7772"/>
    <w:rsid w:val="005217BB"/>
    <w:rsid w:val="00522108"/>
    <w:rsid w:val="00525A6A"/>
    <w:rsid w:val="005439A8"/>
    <w:rsid w:val="00557B58"/>
    <w:rsid w:val="005D2332"/>
    <w:rsid w:val="00615CAD"/>
    <w:rsid w:val="0064519B"/>
    <w:rsid w:val="0066558D"/>
    <w:rsid w:val="00673FEA"/>
    <w:rsid w:val="00675B32"/>
    <w:rsid w:val="006A4DAD"/>
    <w:rsid w:val="006B379E"/>
    <w:rsid w:val="006C7FDE"/>
    <w:rsid w:val="006E1CAF"/>
    <w:rsid w:val="006E31A1"/>
    <w:rsid w:val="006E6158"/>
    <w:rsid w:val="006F7D09"/>
    <w:rsid w:val="007034C5"/>
    <w:rsid w:val="007072FC"/>
    <w:rsid w:val="007126B2"/>
    <w:rsid w:val="00726446"/>
    <w:rsid w:val="00736FCA"/>
    <w:rsid w:val="00793240"/>
    <w:rsid w:val="007B17CB"/>
    <w:rsid w:val="007B64E2"/>
    <w:rsid w:val="007C418F"/>
    <w:rsid w:val="007C71D6"/>
    <w:rsid w:val="007E1081"/>
    <w:rsid w:val="007E6A41"/>
    <w:rsid w:val="007E7057"/>
    <w:rsid w:val="007F00B5"/>
    <w:rsid w:val="008034F6"/>
    <w:rsid w:val="00835888"/>
    <w:rsid w:val="0084779C"/>
    <w:rsid w:val="008567C5"/>
    <w:rsid w:val="00861210"/>
    <w:rsid w:val="00864AFC"/>
    <w:rsid w:val="008C47D3"/>
    <w:rsid w:val="008D6A74"/>
    <w:rsid w:val="008F1C67"/>
    <w:rsid w:val="008F230B"/>
    <w:rsid w:val="008F52C9"/>
    <w:rsid w:val="00914608"/>
    <w:rsid w:val="009154AD"/>
    <w:rsid w:val="00925EF3"/>
    <w:rsid w:val="0093353B"/>
    <w:rsid w:val="00933917"/>
    <w:rsid w:val="00946D2F"/>
    <w:rsid w:val="0097551C"/>
    <w:rsid w:val="009924B7"/>
    <w:rsid w:val="009D05E2"/>
    <w:rsid w:val="009F7207"/>
    <w:rsid w:val="00A138CB"/>
    <w:rsid w:val="00A34025"/>
    <w:rsid w:val="00A3453C"/>
    <w:rsid w:val="00A570FB"/>
    <w:rsid w:val="00A76007"/>
    <w:rsid w:val="00A83B89"/>
    <w:rsid w:val="00AD689F"/>
    <w:rsid w:val="00AE5027"/>
    <w:rsid w:val="00B329BC"/>
    <w:rsid w:val="00B5367C"/>
    <w:rsid w:val="00B5526D"/>
    <w:rsid w:val="00B711C2"/>
    <w:rsid w:val="00B725C0"/>
    <w:rsid w:val="00B7633C"/>
    <w:rsid w:val="00B803C6"/>
    <w:rsid w:val="00B90539"/>
    <w:rsid w:val="00B9788A"/>
    <w:rsid w:val="00BA191F"/>
    <w:rsid w:val="00BD35D6"/>
    <w:rsid w:val="00BD51FF"/>
    <w:rsid w:val="00C07C39"/>
    <w:rsid w:val="00C15080"/>
    <w:rsid w:val="00C22DFC"/>
    <w:rsid w:val="00C235C4"/>
    <w:rsid w:val="00C259FF"/>
    <w:rsid w:val="00C30ED8"/>
    <w:rsid w:val="00C339EE"/>
    <w:rsid w:val="00C467E9"/>
    <w:rsid w:val="00C52204"/>
    <w:rsid w:val="00C60D9C"/>
    <w:rsid w:val="00C64EAE"/>
    <w:rsid w:val="00C81849"/>
    <w:rsid w:val="00C84DC0"/>
    <w:rsid w:val="00C8695F"/>
    <w:rsid w:val="00CA5E1C"/>
    <w:rsid w:val="00CB4C5B"/>
    <w:rsid w:val="00CD2712"/>
    <w:rsid w:val="00CD4981"/>
    <w:rsid w:val="00CE150E"/>
    <w:rsid w:val="00CE4E01"/>
    <w:rsid w:val="00D0785A"/>
    <w:rsid w:val="00D202B9"/>
    <w:rsid w:val="00D216F1"/>
    <w:rsid w:val="00D22F4B"/>
    <w:rsid w:val="00D251B1"/>
    <w:rsid w:val="00D41DF4"/>
    <w:rsid w:val="00D45567"/>
    <w:rsid w:val="00D559E9"/>
    <w:rsid w:val="00D61860"/>
    <w:rsid w:val="00D65BC9"/>
    <w:rsid w:val="00D84037"/>
    <w:rsid w:val="00DC14D1"/>
    <w:rsid w:val="00DC58B2"/>
    <w:rsid w:val="00DD5060"/>
    <w:rsid w:val="00DD72EC"/>
    <w:rsid w:val="00DE424D"/>
    <w:rsid w:val="00DF28A0"/>
    <w:rsid w:val="00E15534"/>
    <w:rsid w:val="00E25C7C"/>
    <w:rsid w:val="00E31C28"/>
    <w:rsid w:val="00E45CFB"/>
    <w:rsid w:val="00E4784E"/>
    <w:rsid w:val="00E506AA"/>
    <w:rsid w:val="00E83AA6"/>
    <w:rsid w:val="00E95262"/>
    <w:rsid w:val="00EA2AAD"/>
    <w:rsid w:val="00EF4837"/>
    <w:rsid w:val="00EF53AC"/>
    <w:rsid w:val="00F04BE5"/>
    <w:rsid w:val="00F103AB"/>
    <w:rsid w:val="00F15167"/>
    <w:rsid w:val="00F17CEE"/>
    <w:rsid w:val="00F23D48"/>
    <w:rsid w:val="00F557A6"/>
    <w:rsid w:val="00F55DA3"/>
    <w:rsid w:val="00F57594"/>
    <w:rsid w:val="00F662AB"/>
    <w:rsid w:val="00F831BD"/>
    <w:rsid w:val="00FA28FF"/>
    <w:rsid w:val="00FD742F"/>
    <w:rsid w:val="00FF2845"/>
    <w:rsid w:val="00FF2E0B"/>
    <w:rsid w:val="09B57666"/>
    <w:rsid w:val="5921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89261"/>
  <w15:docId w15:val="{FC14235B-EECE-44DB-96A2-891348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CB4C5B"/>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semiHidden/>
    <w:unhideWhenUsed/>
    <w:rsid w:val="00CB4C5B"/>
  </w:style>
  <w:style w:type="character" w:customStyle="1" w:styleId="BodyTextChar">
    <w:name w:val="Body Text Char"/>
    <w:basedOn w:val="DefaultParagraphFont"/>
    <w:link w:val="BodyText"/>
    <w:uiPriority w:val="99"/>
    <w:semiHidden/>
    <w:rsid w:val="00CB4C5B"/>
  </w:style>
  <w:style w:type="character" w:styleId="UnresolvedMention">
    <w:name w:val="Unresolved Mention"/>
    <w:basedOn w:val="DefaultParagraphFont"/>
    <w:uiPriority w:val="99"/>
    <w:semiHidden/>
    <w:unhideWhenUsed/>
    <w:rsid w:val="00E5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1ACE9C-5EA2-4C94-BE5C-024F62BF9EE7}">
  <ds:schemaRefs>
    <ds:schemaRef ds:uri="http://schemas.openxmlformats.org/officeDocument/2006/bibliography"/>
  </ds:schemaRefs>
</ds:datastoreItem>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667</Words>
  <Characters>3501</Characters>
  <Application>Microsoft Office Word</Application>
  <DocSecurity>0</DocSecurity>
  <Lines>68</Lines>
  <Paragraphs>41</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Hicks</dc:creator>
  <cp:keywords/>
  <cp:lastModifiedBy>Rasmussen, Jeremy</cp:lastModifiedBy>
  <cp:revision>8</cp:revision>
  <dcterms:created xsi:type="dcterms:W3CDTF">2026-06-10T21:02:00Z</dcterms:created>
  <dcterms:modified xsi:type="dcterms:W3CDTF">2026-06-12T15:48:00Z</dcterms:modified>
</cp:coreProperties>
</file>