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AB5C" w14:textId="46400DD4" w:rsidR="00615CAD" w:rsidRPr="00615CAD" w:rsidRDefault="001D2DE7" w:rsidP="00615CAD">
      <w:pPr>
        <w:pStyle w:val="Logo"/>
      </w:pPr>
      <w:r>
        <w:rPr>
          <w:noProof/>
        </w:rPr>
        <w:drawing>
          <wp:inline distT="0" distB="0" distL="0" distR="0" wp14:anchorId="225F5CA7" wp14:editId="7F4217DA">
            <wp:extent cx="2514600" cy="522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KTC with tag@3x.png"/>
                    <pic:cNvPicPr/>
                  </pic:nvPicPr>
                  <pic:blipFill>
                    <a:blip r:embed="rId8">
                      <a:extLst>
                        <a:ext uri="{28A0092B-C50C-407E-A947-70E740481C1C}">
                          <a14:useLocalDpi xmlns:a14="http://schemas.microsoft.com/office/drawing/2010/main" val="0"/>
                        </a:ext>
                      </a:extLst>
                    </a:blip>
                    <a:stretch>
                      <a:fillRect/>
                    </a:stretch>
                  </pic:blipFill>
                  <pic:spPr>
                    <a:xfrm>
                      <a:off x="0" y="0"/>
                      <a:ext cx="2514600" cy="522605"/>
                    </a:xfrm>
                    <a:prstGeom prst="rect">
                      <a:avLst/>
                    </a:prstGeom>
                  </pic:spPr>
                </pic:pic>
              </a:graphicData>
            </a:graphic>
          </wp:inline>
        </w:drawing>
      </w:r>
    </w:p>
    <w:p w14:paraId="35DA8A81" w14:textId="2DEFEBB8" w:rsidR="00615CAD" w:rsidRPr="00B725C0" w:rsidRDefault="00B725C0" w:rsidP="001D2DE7">
      <w:pPr>
        <w:pStyle w:val="Heading1"/>
        <w:ind w:left="1440"/>
      </w:pPr>
      <w:r>
        <w:br/>
        <w:t xml:space="preserve">Quick Review of </w:t>
      </w:r>
      <w:r>
        <w:br/>
        <w:t>Model System Research</w:t>
      </w:r>
    </w:p>
    <w:p w14:paraId="71136092" w14:textId="77777777" w:rsidR="00615CAD" w:rsidRDefault="00615CAD" w:rsidP="00387B3F">
      <w:pPr>
        <w:pStyle w:val="Heading2"/>
        <w:rPr>
          <w:rStyle w:val="FootnoteReference"/>
          <w:vertAlign w:val="baseline"/>
        </w:rPr>
        <w:sectPr w:rsidR="00615CAD" w:rsidSect="00B725C0">
          <w:headerReference w:type="default" r:id="rId9"/>
          <w:footerReference w:type="default" r:id="rId10"/>
          <w:pgSz w:w="12240" w:h="15840" w:code="1"/>
          <w:pgMar w:top="936" w:right="936" w:bottom="936" w:left="936" w:header="936" w:footer="936" w:gutter="0"/>
          <w:pgBorders>
            <w:top w:val="single" w:sz="4" w:space="0" w:color="auto"/>
            <w:left w:val="single" w:sz="4" w:space="4" w:color="auto"/>
            <w:bottom w:val="single" w:sz="4" w:space="0" w:color="auto"/>
            <w:right w:val="single" w:sz="4" w:space="4" w:color="auto"/>
          </w:pgBorders>
          <w:cols w:num="2" w:space="288" w:equalWidth="0">
            <w:col w:w="3960" w:space="288"/>
            <w:col w:w="6120"/>
          </w:cols>
          <w:docGrid w:linePitch="360"/>
        </w:sectPr>
      </w:pPr>
    </w:p>
    <w:p w14:paraId="0FC64788" w14:textId="2D8C1E87" w:rsidR="00254C38" w:rsidRDefault="00D0785A" w:rsidP="00D0785A">
      <w:pPr>
        <w:pStyle w:val="Heading3"/>
        <w:spacing w:before="360"/>
        <w:jc w:val="center"/>
        <w:rPr>
          <w:rFonts w:ascii="Arial" w:hAnsi="Arial"/>
          <w:color w:val="CA602C"/>
          <w:sz w:val="28"/>
          <w:szCs w:val="32"/>
        </w:rPr>
      </w:pPr>
      <w:r>
        <w:rPr>
          <w:rFonts w:ascii="Arial" w:hAnsi="Arial"/>
          <w:color w:val="CA602C"/>
          <w:sz w:val="28"/>
          <w:szCs w:val="32"/>
        </w:rPr>
        <w:t>The Accuracy of the PHQ-2 Alone and Combined With the PHQ-9 to Identify Major Depression in Traumatic Brain Injury</w:t>
      </w:r>
    </w:p>
    <w:p w14:paraId="52E59DE8" w14:textId="44B2EC78" w:rsidR="00615CAD" w:rsidRPr="00254C38" w:rsidRDefault="00615CAD" w:rsidP="009308ED">
      <w:pPr>
        <w:pStyle w:val="Heading3"/>
        <w:spacing w:before="120" w:line="360" w:lineRule="auto"/>
        <w:ind w:left="0"/>
        <w:rPr>
          <w:rFonts w:ascii="Arial" w:hAnsi="Arial"/>
          <w:color w:val="CA602C"/>
          <w:sz w:val="28"/>
          <w:szCs w:val="28"/>
        </w:rPr>
      </w:pPr>
      <w:r>
        <w:t>What is the study about?</w:t>
      </w:r>
    </w:p>
    <w:p w14:paraId="53EF3D6B" w14:textId="0635353D" w:rsidR="007B31D3" w:rsidRDefault="00615CAD" w:rsidP="001E0328">
      <w:pPr>
        <w:pStyle w:val="Background"/>
        <w:spacing w:before="0" w:after="0" w:line="360" w:lineRule="auto"/>
        <w:jc w:val="left"/>
      </w:pPr>
      <w:r>
        <w:t>This study looked at how well two depression screening tools — the PHQ-2 and the PHQ-9 — can detect major depressive disorder (MDD) in people who have had a traumatic brain injury (TBI). Depression is a serious mental health condition that causes persistent sadness, loss of interest, and other problems that interfere with daily life. MDD is a clinical diagnosis of depression that meets specific criteria.</w:t>
      </w:r>
      <w:r w:rsidR="007B31D3" w:rsidRPr="007B31D3">
        <w:t xml:space="preserve"> PHQ</w:t>
      </w:r>
      <w:r w:rsidR="007B31D3" w:rsidRPr="007B31D3">
        <w:rPr>
          <w:rFonts w:ascii="Cambria Math" w:hAnsi="Cambria Math" w:cs="Cambria Math"/>
        </w:rPr>
        <w:t>‑</w:t>
      </w:r>
      <w:r w:rsidR="007B31D3" w:rsidRPr="007B31D3">
        <w:t>2 has 2 questions on mood and interest; PHQ</w:t>
      </w:r>
      <w:r w:rsidR="007B31D3" w:rsidRPr="007B31D3">
        <w:rPr>
          <w:rFonts w:ascii="Cambria Math" w:hAnsi="Cambria Math" w:cs="Cambria Math"/>
        </w:rPr>
        <w:t>‑</w:t>
      </w:r>
      <w:r w:rsidR="007B31D3" w:rsidRPr="007B31D3">
        <w:t xml:space="preserve">9 has 9 covering full depression symptoms. Both ask about symptoms in the past 2 weeks. </w:t>
      </w:r>
      <w:r w:rsidR="003E037E" w:rsidRPr="003E037E">
        <w:t>The study looked at whether standard cutoff scores used by large health organizations are accurate for people with TBI or need adjustment for this group</w:t>
      </w:r>
      <w:r w:rsidR="001B007F">
        <w:t>.</w:t>
      </w:r>
    </w:p>
    <w:p w14:paraId="2C7EFF17" w14:textId="77777777" w:rsidR="00CB4C5B" w:rsidRPr="00FA28FF" w:rsidRDefault="00CB4C5B" w:rsidP="0086338B">
      <w:pPr>
        <w:pStyle w:val="Heading3"/>
        <w:spacing w:before="120" w:line="360" w:lineRule="auto"/>
        <w:ind w:left="0"/>
      </w:pPr>
      <w:r>
        <w:t>What did the study find?</w:t>
      </w:r>
    </w:p>
    <w:p w14:paraId="1A002001" w14:textId="7A07D12E" w:rsidR="00CB4C5B" w:rsidRDefault="00CB4C5B" w:rsidP="001E0328">
      <w:pPr>
        <w:pStyle w:val="Background"/>
        <w:spacing w:before="0" w:after="0" w:line="360" w:lineRule="auto"/>
        <w:jc w:val="left"/>
      </w:pPr>
      <w:r>
        <w:t>The study found that the PHQ-2 works well as a first-step screening tool for depression in people with TBI, but the best cutoff score</w:t>
      </w:r>
      <w:r w:rsidR="007B31D3">
        <w:t xml:space="preserve"> for people with TBI</w:t>
      </w:r>
      <w:r>
        <w:t xml:space="preserve"> is different from what large health organizations currently use. The key findings were:</w:t>
      </w:r>
    </w:p>
    <w:p w14:paraId="51D4308A" w14:textId="25A6ADCC" w:rsidR="007C7915" w:rsidRDefault="00CB4C5B" w:rsidP="001E0328">
      <w:pPr>
        <w:pStyle w:val="Background"/>
        <w:spacing w:before="0" w:after="0" w:line="360" w:lineRule="auto"/>
        <w:ind w:left="360"/>
        <w:jc w:val="left"/>
      </w:pPr>
      <w:r>
        <w:rPr>
          <w:b/>
        </w:rPr>
        <w:t xml:space="preserve">PHQ-2 used alone: </w:t>
      </w:r>
      <w:r w:rsidR="007B31D3" w:rsidRPr="007B31D3">
        <w:t xml:space="preserve">A cutoff score of 2 works best for people with TBI, correctly identifying 86% of those with MDD and 83% of those without it. The higher cutoff of 3 </w:t>
      </w:r>
      <w:r w:rsidR="00DB4D37">
        <w:t xml:space="preserve">or more </w:t>
      </w:r>
      <w:r w:rsidR="007B31D3" w:rsidRPr="007B31D3">
        <w:t xml:space="preserve">(used by the VA and Medicare) only detects 73% of cases, so more people with depression are </w:t>
      </w:r>
      <w:proofErr w:type="gramStart"/>
      <w:r w:rsidR="007B31D3" w:rsidRPr="007B31D3">
        <w:t>missed</w:t>
      </w:r>
      <w:proofErr w:type="gramEnd"/>
      <w:r w:rsidR="007B31D3" w:rsidRPr="007B31D3">
        <w:t>.</w:t>
      </w:r>
    </w:p>
    <w:p w14:paraId="7EE236AB" w14:textId="4C1CC38E" w:rsidR="003E037E" w:rsidRPr="0086338B" w:rsidRDefault="00CB4C5B" w:rsidP="003E037E">
      <w:pPr>
        <w:pStyle w:val="Background"/>
        <w:spacing w:before="0" w:after="0" w:line="360" w:lineRule="auto"/>
        <w:ind w:left="360"/>
        <w:jc w:val="left"/>
        <w:rPr>
          <w:bCs/>
        </w:rPr>
      </w:pPr>
      <w:r>
        <w:rPr>
          <w:b/>
        </w:rPr>
        <w:t xml:space="preserve">PHQ-2 and PHQ-9 used together (2-step approach): </w:t>
      </w:r>
      <w:r w:rsidR="003E037E" w:rsidRPr="0086338B">
        <w:rPr>
          <w:bCs/>
        </w:rPr>
        <w:t>This worked better. First, anyone scoring 1 or higher on the PHQ</w:t>
      </w:r>
      <w:r w:rsidR="003E037E" w:rsidRPr="0086338B">
        <w:rPr>
          <w:rFonts w:ascii="Cambria Math" w:hAnsi="Cambria Math" w:cs="Cambria Math"/>
          <w:bCs/>
        </w:rPr>
        <w:t>‑</w:t>
      </w:r>
      <w:r w:rsidR="003E037E" w:rsidRPr="0086338B">
        <w:rPr>
          <w:bCs/>
        </w:rPr>
        <w:t>2 completed the full PHQ</w:t>
      </w:r>
      <w:r w:rsidR="003E037E" w:rsidRPr="0086338B">
        <w:rPr>
          <w:rFonts w:ascii="Cambria Math" w:hAnsi="Cambria Math" w:cs="Cambria Math"/>
          <w:bCs/>
        </w:rPr>
        <w:t>‑</w:t>
      </w:r>
      <w:r w:rsidR="003E037E" w:rsidRPr="0086338B">
        <w:rPr>
          <w:bCs/>
        </w:rPr>
        <w:t>9. A positive PHQ</w:t>
      </w:r>
      <w:r w:rsidR="003E037E" w:rsidRPr="0086338B">
        <w:rPr>
          <w:rFonts w:ascii="Cambria Math" w:hAnsi="Cambria Math" w:cs="Cambria Math"/>
          <w:bCs/>
        </w:rPr>
        <w:t>‑</w:t>
      </w:r>
      <w:r w:rsidR="003E037E" w:rsidRPr="0086338B">
        <w:rPr>
          <w:bCs/>
        </w:rPr>
        <w:t>9 meant having 5 or more symptoms</w:t>
      </w:r>
      <w:r w:rsidR="003E037E">
        <w:rPr>
          <w:bCs/>
        </w:rPr>
        <w:t xml:space="preserve"> for several days or more</w:t>
      </w:r>
      <w:r w:rsidR="003E037E" w:rsidRPr="0086338B">
        <w:rPr>
          <w:bCs/>
        </w:rPr>
        <w:t>. This two-step approach identified 93% of people with MDD and correctly ruled out 89% without it</w:t>
      </w:r>
      <w:r w:rsidR="003E037E">
        <w:rPr>
          <w:bCs/>
        </w:rPr>
        <w:t xml:space="preserve">. </w:t>
      </w:r>
    </w:p>
    <w:p w14:paraId="1A002004" w14:textId="01002004" w:rsidR="00CB4C5B" w:rsidRDefault="00CB4C5B" w:rsidP="001E0328">
      <w:pPr>
        <w:pStyle w:val="Background"/>
        <w:spacing w:before="0" w:after="0" w:line="360" w:lineRule="auto"/>
        <w:ind w:left="360"/>
        <w:jc w:val="left"/>
      </w:pPr>
      <w:r>
        <w:rPr>
          <w:b/>
        </w:rPr>
        <w:t xml:space="preserve">Efficiency: </w:t>
      </w:r>
      <w:r>
        <w:t>Using this 2-step approach, only 53.6% of patients needed to complete the full 9-question PHQ-9, saving time for both patients and clinicians.</w:t>
      </w:r>
    </w:p>
    <w:p w14:paraId="1AEC1E40" w14:textId="5253C765" w:rsidR="00556CCA" w:rsidRDefault="00556CCA" w:rsidP="001E0328">
      <w:pPr>
        <w:pStyle w:val="Background"/>
        <w:spacing w:before="0" w:after="0" w:line="360" w:lineRule="auto"/>
        <w:jc w:val="left"/>
      </w:pPr>
      <w:r w:rsidRPr="00556CCA">
        <w:t>The standard approach (</w:t>
      </w:r>
      <w:r>
        <w:t>PHQ-2 score of 3 or more, then PHQ-9 score of 10 or more</w:t>
      </w:r>
      <w:r w:rsidRPr="00556CCA">
        <w:t>) identified only 70% of people with TBI who had MDD</w:t>
      </w:r>
      <w:r w:rsidRPr="00556CCA">
        <w:rPr>
          <w:rFonts w:cs="Arial Narrow"/>
        </w:rPr>
        <w:t>—</w:t>
      </w:r>
      <w:r w:rsidRPr="00556CCA">
        <w:t>missing nearly 1 in 3 cases. The TBI-specific approach identified 93%, a 23-point improvement.</w:t>
      </w:r>
    </w:p>
    <w:p w14:paraId="4D088AA8" w14:textId="0ED065F8" w:rsidR="00615CAD" w:rsidRPr="000B1BE7" w:rsidRDefault="00615CAD" w:rsidP="0086338B">
      <w:pPr>
        <w:pStyle w:val="Heading3"/>
        <w:spacing w:before="120" w:line="360" w:lineRule="auto"/>
        <w:ind w:left="0"/>
      </w:pPr>
      <w:r>
        <w:t>Who participated in the study?</w:t>
      </w:r>
    </w:p>
    <w:p w14:paraId="4404FFFB" w14:textId="3A02926C" w:rsidR="0033692C" w:rsidRPr="0086338B" w:rsidRDefault="0033692C" w:rsidP="0086338B">
      <w:pPr>
        <w:autoSpaceDE w:val="0"/>
        <w:autoSpaceDN w:val="0"/>
        <w:adjustRightInd w:val="0"/>
        <w:spacing w:before="0" w:after="0" w:line="360" w:lineRule="auto"/>
        <w:rPr>
          <w:rFonts w:ascii="Arial Narrow" w:hAnsi="Arial Narrow" w:cs="Consolas"/>
          <w:color w:val="000000"/>
          <w:sz w:val="18"/>
          <w:szCs w:val="18"/>
        </w:rPr>
      </w:pPr>
      <w:r w:rsidRPr="0086338B">
        <w:rPr>
          <w:rFonts w:ascii="Arial Narrow" w:hAnsi="Arial Narrow" w:cs="Consolas"/>
          <w:color w:val="000000"/>
          <w:sz w:val="18"/>
          <w:szCs w:val="18"/>
        </w:rPr>
        <w:t xml:space="preserve">The study included 135 adults with mild to severe TBI from a Seattle trauma center. All were 18 or older, English-speaking, and had confirmed TBI based on imaging or </w:t>
      </w:r>
      <w:r w:rsidR="005A0801">
        <w:rPr>
          <w:rFonts w:ascii="Arial Narrow" w:hAnsi="Arial Narrow" w:cs="Consolas"/>
          <w:color w:val="000000"/>
          <w:sz w:val="18"/>
          <w:szCs w:val="18"/>
        </w:rPr>
        <w:t xml:space="preserve">a low score on the </w:t>
      </w:r>
      <w:r w:rsidR="005A0801" w:rsidRPr="005A0801">
        <w:rPr>
          <w:rFonts w:ascii="Arial Narrow" w:hAnsi="Arial Narrow" w:cs="Consolas"/>
          <w:color w:val="000000"/>
          <w:sz w:val="18"/>
          <w:szCs w:val="18"/>
        </w:rPr>
        <w:t>Glasgow Coma Scale (GCS)</w:t>
      </w:r>
      <w:r w:rsidRPr="0086338B">
        <w:rPr>
          <w:rFonts w:ascii="Arial Narrow" w:hAnsi="Arial Narrow" w:cs="Consolas"/>
          <w:color w:val="000000"/>
          <w:sz w:val="18"/>
          <w:szCs w:val="18"/>
        </w:rPr>
        <w:t>.</w:t>
      </w:r>
      <w:r w:rsidR="00FE08CD">
        <w:rPr>
          <w:rFonts w:ascii="Arial Narrow" w:hAnsi="Arial Narrow" w:cs="Consolas"/>
          <w:color w:val="000000"/>
          <w:sz w:val="18"/>
          <w:szCs w:val="18"/>
        </w:rPr>
        <w:t xml:space="preserve"> </w:t>
      </w:r>
      <w:r w:rsidRPr="0086338B">
        <w:rPr>
          <w:rFonts w:ascii="Arial Narrow" w:hAnsi="Arial Narrow" w:cs="Consolas"/>
          <w:color w:val="000000"/>
          <w:sz w:val="18"/>
          <w:szCs w:val="18"/>
        </w:rPr>
        <w:t>Participants were assessed about 4 months after injury. The average age was 42; most were male (71%) and white (90%). The main causes of TBI were motor vehicle crashes (47%) and falls (32%).</w:t>
      </w:r>
      <w:r w:rsidR="009804AA">
        <w:rPr>
          <w:rFonts w:ascii="Arial Narrow" w:hAnsi="Arial Narrow" w:cs="Consolas"/>
          <w:color w:val="000000"/>
          <w:sz w:val="18"/>
          <w:szCs w:val="18"/>
        </w:rPr>
        <w:t xml:space="preserve"> </w:t>
      </w:r>
      <w:r w:rsidR="009804AA" w:rsidRPr="009804AA">
        <w:rPr>
          <w:rFonts w:ascii="Arial Narrow" w:hAnsi="Arial Narrow" w:cs="Consolas"/>
          <w:color w:val="000000"/>
          <w:sz w:val="18"/>
          <w:szCs w:val="18"/>
        </w:rPr>
        <w:t xml:space="preserve">Participants were assessed at multiple time points within the first year after their </w:t>
      </w:r>
      <w:r w:rsidR="001B007F" w:rsidRPr="009804AA">
        <w:rPr>
          <w:rFonts w:ascii="Arial Narrow" w:hAnsi="Arial Narrow" w:cs="Consolas"/>
          <w:color w:val="000000"/>
          <w:sz w:val="18"/>
          <w:szCs w:val="18"/>
        </w:rPr>
        <w:t>injury and</w:t>
      </w:r>
      <w:r w:rsidR="009804AA" w:rsidRPr="009804AA">
        <w:rPr>
          <w:rFonts w:ascii="Arial Narrow" w:hAnsi="Arial Narrow" w:cs="Consolas"/>
          <w:color w:val="000000"/>
          <w:sz w:val="18"/>
          <w:szCs w:val="18"/>
        </w:rPr>
        <w:t xml:space="preserve"> were assessed on average 3.8 months post-TBI.</w:t>
      </w:r>
    </w:p>
    <w:p w14:paraId="150B13D1" w14:textId="4BBCD69E" w:rsidR="00804387" w:rsidRDefault="00615CAD" w:rsidP="0086338B">
      <w:pPr>
        <w:pStyle w:val="Heading3"/>
        <w:spacing w:before="120" w:line="360" w:lineRule="auto"/>
        <w:ind w:left="0"/>
      </w:pPr>
      <w:r>
        <w:t>How was the study conducted?</w:t>
      </w:r>
    </w:p>
    <w:p w14:paraId="24FB1533" w14:textId="4EED1F46" w:rsidR="00804387" w:rsidRDefault="00804387" w:rsidP="001E0328">
      <w:pPr>
        <w:pStyle w:val="Background"/>
        <w:spacing w:before="0" w:after="0" w:line="360" w:lineRule="auto"/>
        <w:jc w:val="left"/>
      </w:pPr>
      <w:r>
        <w:t>Participants completed PHQ-9 interviews by phone at multiple points within a year after TBI; PHQ-2 scores were derived from the first two items</w:t>
      </w:r>
      <w:r w:rsidR="00B4336D">
        <w:t xml:space="preserve"> from the PHQ-9</w:t>
      </w:r>
      <w:r>
        <w:t xml:space="preserve">. Within 7 days, trained nurse practitioners administered the Structured Clinical Interview for DSM-IV (SCID) in person or by phone, which served as the reference for </w:t>
      </w:r>
      <w:r w:rsidR="0021393D">
        <w:t xml:space="preserve">correctly </w:t>
      </w:r>
      <w:r>
        <w:t xml:space="preserve">diagnosing MDD. Researchers assessed how accurately the PHQ-2 and PHQ-9 identified MDD, tested PHQ-2 reliability, and examined its correlation with other measures. </w:t>
      </w:r>
      <w:r w:rsidR="00B57209" w:rsidRPr="00B57209">
        <w:t xml:space="preserve">Statistical methods </w:t>
      </w:r>
      <w:r>
        <w:t>accounted for oversampling of participants with higher depression scores.</w:t>
      </w:r>
    </w:p>
    <w:p w14:paraId="7403FEC6" w14:textId="77777777" w:rsidR="00CB4C5B" w:rsidRDefault="00CB4C5B" w:rsidP="0086338B">
      <w:pPr>
        <w:pStyle w:val="Heading3"/>
        <w:spacing w:before="120" w:line="360" w:lineRule="auto"/>
        <w:ind w:left="0"/>
      </w:pPr>
      <w:r>
        <w:lastRenderedPageBreak/>
        <w:t>How can people use the results?</w:t>
      </w:r>
    </w:p>
    <w:p w14:paraId="09B6CFB8" w14:textId="47EFA8D4" w:rsidR="00CB2120" w:rsidRDefault="00CB4C5B" w:rsidP="001E0328">
      <w:pPr>
        <w:pStyle w:val="Background"/>
        <w:spacing w:before="0" w:after="0" w:line="360" w:lineRule="auto"/>
        <w:jc w:val="left"/>
        <w:rPr>
          <w:b/>
        </w:rPr>
      </w:pPr>
      <w:r>
        <w:rPr>
          <w:b/>
        </w:rPr>
        <w:t xml:space="preserve">TBI survivors and families: </w:t>
      </w:r>
      <w:r w:rsidR="00CB2120" w:rsidRPr="00CB2120">
        <w:t>Depression affects about 1 in 4 people after moderate–severe TBI and is often missed. If you’re asked two questions about mood and interest, even answering “several days” to one may justify further evaluation—you don’t need a high score to get help.</w:t>
      </w:r>
      <w:r w:rsidR="00D67EEC">
        <w:t xml:space="preserve"> K</w:t>
      </w:r>
      <w:r w:rsidR="00D67EEC" w:rsidRPr="00D67EEC">
        <w:t>nowing about these screening tools can help you have an informed conversation with your healthcare provider</w:t>
      </w:r>
      <w:r w:rsidR="00D67EEC">
        <w:t>.</w:t>
      </w:r>
    </w:p>
    <w:p w14:paraId="1A005002" w14:textId="502CA50E" w:rsidR="00CB4C5B" w:rsidRDefault="00CB4C5B" w:rsidP="001E0328">
      <w:pPr>
        <w:pStyle w:val="Background"/>
        <w:spacing w:before="0" w:after="0" w:line="360" w:lineRule="auto"/>
        <w:jc w:val="left"/>
      </w:pPr>
      <w:r>
        <w:rPr>
          <w:b/>
        </w:rPr>
        <w:t xml:space="preserve">Clinicians (doctors, nurses, therapists, and rehabilitation teams): </w:t>
      </w:r>
      <w:r>
        <w:t>Using a lower cutoff of 1 or more on the PHQ-2, followed by a full PHQ-9 with a threshold of 5 or more symptoms endorsed at “several days,” produces much better results for this population. Clinicians working with TBI patients should consider adopting these TBI-specific thresholds in their practice.</w:t>
      </w:r>
    </w:p>
    <w:p w14:paraId="1A005003" w14:textId="5BC4F455" w:rsidR="00CB4C5B" w:rsidRDefault="00CB4C5B" w:rsidP="0086338B">
      <w:pPr>
        <w:pStyle w:val="Background"/>
        <w:spacing w:before="120" w:after="0" w:line="360" w:lineRule="auto"/>
        <w:jc w:val="left"/>
      </w:pPr>
      <w:r>
        <w:rPr>
          <w:b/>
        </w:rPr>
        <w:t>Researchers:</w:t>
      </w:r>
      <w:r w:rsidR="004A5F90">
        <w:t xml:space="preserve"> </w:t>
      </w:r>
      <w:r>
        <w:t>Larger, multi-site studies are needed to confirm these findings across more diverse TBI populations. Future research should also explore whether these optimized cutoff scores perform equally well across different TBI severity levels, age groups, and racial and ethnic groups.</w:t>
      </w:r>
    </w:p>
    <w:p w14:paraId="49A3CCB4" w14:textId="3DB673A3" w:rsidR="005B017F" w:rsidRDefault="00CB4C5B" w:rsidP="007218FE">
      <w:pPr>
        <w:pStyle w:val="Background"/>
        <w:spacing w:before="120" w:after="0" w:line="360" w:lineRule="auto"/>
        <w:jc w:val="left"/>
      </w:pPr>
      <w:r>
        <w:rPr>
          <w:b/>
        </w:rPr>
        <w:t xml:space="preserve">Policy makers and health systems (VA, Medicare, CMS): </w:t>
      </w:r>
      <w:r>
        <w:t xml:space="preserve">The current depression screening thresholds used by the VA/DoD and Centers for Medicare and Medicaid Services (CMS) appear to underperform for people with TBI, potentially leaving a large proportion of this vulnerable population without a diagnosis or treatment. </w:t>
      </w:r>
      <w:r w:rsidR="00A93792" w:rsidRPr="00A93792">
        <w:t>Updating guidelines to a TBI-specific 2-step PHQ-2/PHQ-9 approach could improve detection and reduce undertreatment.</w:t>
      </w:r>
    </w:p>
    <w:p w14:paraId="1F9A7C58" w14:textId="7A3DDA74" w:rsidR="00CB4C5B" w:rsidRDefault="007072FC" w:rsidP="0086338B">
      <w:pPr>
        <w:pStyle w:val="Heading3"/>
        <w:spacing w:before="120" w:line="360" w:lineRule="auto"/>
        <w:ind w:left="0"/>
      </w:pPr>
      <w:r>
        <w:t>Reference</w:t>
      </w:r>
    </w:p>
    <w:p w14:paraId="1A006001" w14:textId="01006001" w:rsidR="007072FC" w:rsidRDefault="007072FC" w:rsidP="001E0328">
      <w:pPr>
        <w:pStyle w:val="Background"/>
        <w:spacing w:before="0" w:after="0" w:line="360" w:lineRule="auto"/>
        <w:jc w:val="left"/>
      </w:pPr>
      <w:r>
        <w:t xml:space="preserve">Bombardier, C. H., Mistretta, E. G., Altschuler, R., Barber, J., &amp; Fann, J. R. (2025). The accuracy of the PHQ-2 alone and combined with the PHQ-9 to identify major depression in traumatic brain injury. </w:t>
      </w:r>
      <w:r>
        <w:rPr>
          <w:i/>
        </w:rPr>
        <w:t>Journal of Head Trauma Rehabilitation</w:t>
      </w:r>
      <w:r>
        <w:t xml:space="preserve">, </w:t>
      </w:r>
      <w:r>
        <w:rPr>
          <w:i/>
        </w:rPr>
        <w:t>Advance online publication</w:t>
      </w:r>
      <w:r>
        <w:t>. https://doi.org/10.1097/HTR.0000000000001054</w:t>
      </w:r>
    </w:p>
    <w:p w14:paraId="3D46F7D7" w14:textId="3A591ABF" w:rsidR="00CB4C5B" w:rsidRPr="00317B84" w:rsidRDefault="007072FC" w:rsidP="001E0328">
      <w:pPr>
        <w:pStyle w:val="Heading3"/>
        <w:spacing w:before="0" w:line="360" w:lineRule="auto"/>
        <w:ind w:left="0"/>
      </w:pPr>
      <w:r>
        <w:t>Disclaimer</w:t>
      </w:r>
    </w:p>
    <w:p w14:paraId="56374917" w14:textId="77777777" w:rsidR="00756877" w:rsidRDefault="004C59F0" w:rsidP="00756877">
      <w:pPr>
        <w:pStyle w:val="Background"/>
        <w:spacing w:before="0" w:after="0" w:line="360" w:lineRule="auto"/>
        <w:jc w:val="left"/>
        <w:rPr>
          <w:color w:val="000000" w:themeColor="text1"/>
        </w:rPr>
      </w:pPr>
      <w:r>
        <w:rPr>
          <w:color w:val="000000" w:themeColor="text1"/>
        </w:rPr>
        <w:t>The contents of this quick review were developed under a grant from the National Institute on Disability, Independent Living, and Rehabilitation Research (NIDILRR grant number 90DPKT0009). NIDILRR is a Center within the Administration for Community Living (ACL), Department of Health and Human Services (HHS). The contents of this quick review do not necessarily represent the policy of NIDILRR, ACL, HHS, and you should not assume endorsement by the Federal Government.</w:t>
      </w:r>
      <w:r w:rsidR="00756877">
        <w:rPr>
          <w:color w:val="000000" w:themeColor="text1"/>
        </w:rPr>
        <w:t xml:space="preserve"> </w:t>
      </w:r>
    </w:p>
    <w:p w14:paraId="53CEE5C2" w14:textId="77777777" w:rsidR="00756877" w:rsidRDefault="00756877" w:rsidP="00756877">
      <w:pPr>
        <w:pStyle w:val="Background"/>
        <w:spacing w:before="0" w:after="0" w:line="360" w:lineRule="auto"/>
        <w:jc w:val="left"/>
        <w:rPr>
          <w:color w:val="000000" w:themeColor="text1"/>
        </w:rPr>
      </w:pPr>
    </w:p>
    <w:p w14:paraId="4B93527A" w14:textId="21FBCC07" w:rsidR="00756877" w:rsidRDefault="00756877" w:rsidP="00756877">
      <w:pPr>
        <w:pStyle w:val="Background"/>
        <w:spacing w:before="0" w:after="0" w:line="360" w:lineRule="auto"/>
        <w:jc w:val="left"/>
      </w:pPr>
      <w:r w:rsidRPr="00412620">
        <w:rPr>
          <w:color w:val="000000" w:themeColor="text1"/>
        </w:rPr>
        <w:t>The content of this Quick Review was generated and edited using Claude and Microsoft Co-Pilot and was carefully reviewed and edited by experts to ensure accuracy.</w:t>
      </w:r>
    </w:p>
    <w:p w14:paraId="080EC9ED" w14:textId="6DCFDD2C" w:rsidR="004C59F0" w:rsidRDefault="004C59F0" w:rsidP="001E0328">
      <w:pPr>
        <w:pStyle w:val="Background"/>
        <w:spacing w:before="0" w:after="0" w:line="360" w:lineRule="auto"/>
        <w:jc w:val="left"/>
      </w:pPr>
    </w:p>
    <w:p w14:paraId="5B46F4A4" w14:textId="77777777" w:rsidR="004C59F0" w:rsidRPr="004C59F0" w:rsidRDefault="004C59F0" w:rsidP="001E0328">
      <w:pPr>
        <w:spacing w:before="0" w:after="0" w:line="360" w:lineRule="auto"/>
      </w:pPr>
    </w:p>
    <w:p w14:paraId="68F2E363" w14:textId="77777777" w:rsidR="00615CAD" w:rsidRPr="004C59F0" w:rsidRDefault="00615CAD" w:rsidP="001E0328">
      <w:pPr>
        <w:spacing w:before="0" w:after="0" w:line="360" w:lineRule="auto"/>
      </w:pPr>
    </w:p>
    <w:sectPr w:rsidR="00615CAD" w:rsidRPr="004C59F0" w:rsidSect="00615CAD">
      <w:type w:val="continuous"/>
      <w:pgSz w:w="12240" w:h="15840" w:code="1"/>
      <w:pgMar w:top="936" w:right="936" w:bottom="936" w:left="936" w:header="936" w:footer="936" w:gutter="0"/>
      <w:pgBorders>
        <w:top w:val="single" w:sz="4" w:space="0" w:color="auto"/>
        <w:left w:val="single" w:sz="4" w:space="4" w:color="auto"/>
        <w:bottom w:val="single" w:sz="4" w:space="0"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96FE5" w14:textId="77777777" w:rsidR="00B742BD" w:rsidRDefault="00B742BD">
      <w:pPr>
        <w:spacing w:before="0" w:after="0" w:line="240" w:lineRule="auto"/>
      </w:pPr>
      <w:r>
        <w:separator/>
      </w:r>
    </w:p>
  </w:endnote>
  <w:endnote w:type="continuationSeparator" w:id="0">
    <w:p w14:paraId="19F5A132" w14:textId="77777777" w:rsidR="00B742BD" w:rsidRDefault="00B742BD">
      <w:pPr>
        <w:spacing w:before="0" w:after="0" w:line="240" w:lineRule="auto"/>
      </w:pPr>
      <w:r>
        <w:continuationSeparator/>
      </w:r>
    </w:p>
  </w:endnote>
  <w:endnote w:type="continuationNotice" w:id="1">
    <w:p w14:paraId="4D0032A4" w14:textId="77777777" w:rsidR="00B742BD" w:rsidRDefault="00B742B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Times New 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CFF" w14:textId="127B3455" w:rsidR="009154AD" w:rsidRPr="004C59F0" w:rsidRDefault="004C59F0" w:rsidP="00615CAD">
    <w:pPr>
      <w:pStyle w:val="Header"/>
      <w:shd w:val="clear" w:color="auto" w:fill="CA602C"/>
      <w:tabs>
        <w:tab w:val="left" w:pos="1710"/>
      </w:tabs>
      <w:spacing w:line="280" w:lineRule="exact"/>
      <w:ind w:left="-72" w:right="-72"/>
      <w:jc w:val="center"/>
      <w:rPr>
        <w:rFonts w:ascii="Arial" w:hAnsi="Arial" w:cs="Arial"/>
        <w:color w:val="FFFFFF" w:themeColor="background1"/>
        <w:sz w:val="20"/>
        <w:szCs w:val="20"/>
      </w:rPr>
    </w:pPr>
    <w:hyperlink r:id="rId1" w:history="1">
      <w:r w:rsidRPr="004C59F0">
        <w:rPr>
          <w:rStyle w:val="Hyperlink"/>
          <w:color w:val="FFFFFF" w:themeColor="background1"/>
          <w:u w:val="none"/>
        </w:rPr>
        <w:t>https://msktc.org/tbi</w:t>
      </w:r>
    </w:hyperlink>
    <w:r w:rsidRPr="004C59F0">
      <w:rPr>
        <w:color w:val="FFFFFF" w:themeColor="background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642C2" w14:textId="77777777" w:rsidR="00B742BD" w:rsidRPr="006C7FDE" w:rsidRDefault="00B742BD" w:rsidP="006C7FDE">
      <w:pPr>
        <w:pStyle w:val="Footer"/>
      </w:pPr>
    </w:p>
  </w:footnote>
  <w:footnote w:type="continuationSeparator" w:id="0">
    <w:p w14:paraId="0B69D3EA" w14:textId="77777777" w:rsidR="00B742BD" w:rsidRPr="006C7FDE" w:rsidRDefault="00B742BD" w:rsidP="006C7FDE">
      <w:pPr>
        <w:pStyle w:val="Footer"/>
      </w:pPr>
    </w:p>
  </w:footnote>
  <w:footnote w:type="continuationNotice" w:id="1">
    <w:p w14:paraId="162A48D3" w14:textId="77777777" w:rsidR="00B742BD" w:rsidRDefault="00B742B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F73D" w14:textId="77777777" w:rsidR="009154AD" w:rsidRPr="00282533" w:rsidRDefault="009154AD" w:rsidP="00B725C0">
    <w:pPr>
      <w:pStyle w:val="Header"/>
      <w:shd w:val="clear" w:color="auto" w:fill="1D4F90"/>
      <w:tabs>
        <w:tab w:val="left" w:pos="1710"/>
      </w:tabs>
      <w:spacing w:after="240" w:line="280" w:lineRule="exact"/>
      <w:ind w:left="-72" w:right="-72"/>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F19"/>
    <w:multiLevelType w:val="hybridMultilevel"/>
    <w:tmpl w:val="342E0F6A"/>
    <w:lvl w:ilvl="0" w:tplc="933610EA">
      <w:start w:val="1"/>
      <w:numFmt w:val="bullet"/>
      <w:lvlText w:val=""/>
      <w:lvlJc w:val="left"/>
      <w:pPr>
        <w:ind w:left="720" w:hanging="360"/>
      </w:pPr>
      <w:rPr>
        <w:rFonts w:ascii="Symbol" w:hAnsi="Symbol"/>
      </w:rPr>
    </w:lvl>
    <w:lvl w:ilvl="1" w:tplc="2BDAC74A">
      <w:start w:val="1"/>
      <w:numFmt w:val="bullet"/>
      <w:lvlText w:val=""/>
      <w:lvlJc w:val="left"/>
      <w:pPr>
        <w:ind w:left="720" w:hanging="360"/>
      </w:pPr>
      <w:rPr>
        <w:rFonts w:ascii="Symbol" w:hAnsi="Symbol"/>
      </w:rPr>
    </w:lvl>
    <w:lvl w:ilvl="2" w:tplc="01567FD0">
      <w:start w:val="1"/>
      <w:numFmt w:val="bullet"/>
      <w:lvlText w:val=""/>
      <w:lvlJc w:val="left"/>
      <w:pPr>
        <w:ind w:left="720" w:hanging="360"/>
      </w:pPr>
      <w:rPr>
        <w:rFonts w:ascii="Symbol" w:hAnsi="Symbol"/>
      </w:rPr>
    </w:lvl>
    <w:lvl w:ilvl="3" w:tplc="CFAE0404">
      <w:start w:val="1"/>
      <w:numFmt w:val="bullet"/>
      <w:lvlText w:val=""/>
      <w:lvlJc w:val="left"/>
      <w:pPr>
        <w:ind w:left="720" w:hanging="360"/>
      </w:pPr>
      <w:rPr>
        <w:rFonts w:ascii="Symbol" w:hAnsi="Symbol"/>
      </w:rPr>
    </w:lvl>
    <w:lvl w:ilvl="4" w:tplc="8E3038A2">
      <w:start w:val="1"/>
      <w:numFmt w:val="bullet"/>
      <w:lvlText w:val=""/>
      <w:lvlJc w:val="left"/>
      <w:pPr>
        <w:ind w:left="720" w:hanging="360"/>
      </w:pPr>
      <w:rPr>
        <w:rFonts w:ascii="Symbol" w:hAnsi="Symbol"/>
      </w:rPr>
    </w:lvl>
    <w:lvl w:ilvl="5" w:tplc="EFD0BE5A">
      <w:start w:val="1"/>
      <w:numFmt w:val="bullet"/>
      <w:lvlText w:val=""/>
      <w:lvlJc w:val="left"/>
      <w:pPr>
        <w:ind w:left="720" w:hanging="360"/>
      </w:pPr>
      <w:rPr>
        <w:rFonts w:ascii="Symbol" w:hAnsi="Symbol"/>
      </w:rPr>
    </w:lvl>
    <w:lvl w:ilvl="6" w:tplc="25A0B25E">
      <w:start w:val="1"/>
      <w:numFmt w:val="bullet"/>
      <w:lvlText w:val=""/>
      <w:lvlJc w:val="left"/>
      <w:pPr>
        <w:ind w:left="720" w:hanging="360"/>
      </w:pPr>
      <w:rPr>
        <w:rFonts w:ascii="Symbol" w:hAnsi="Symbol"/>
      </w:rPr>
    </w:lvl>
    <w:lvl w:ilvl="7" w:tplc="71F2DD0C">
      <w:start w:val="1"/>
      <w:numFmt w:val="bullet"/>
      <w:lvlText w:val=""/>
      <w:lvlJc w:val="left"/>
      <w:pPr>
        <w:ind w:left="720" w:hanging="360"/>
      </w:pPr>
      <w:rPr>
        <w:rFonts w:ascii="Symbol" w:hAnsi="Symbol"/>
      </w:rPr>
    </w:lvl>
    <w:lvl w:ilvl="8" w:tplc="AADE7102">
      <w:start w:val="1"/>
      <w:numFmt w:val="bullet"/>
      <w:lvlText w:val=""/>
      <w:lvlJc w:val="left"/>
      <w:pPr>
        <w:ind w:left="720" w:hanging="360"/>
      </w:pPr>
      <w:rPr>
        <w:rFonts w:ascii="Symbol" w:hAnsi="Symbol"/>
      </w:rPr>
    </w:lvl>
  </w:abstractNum>
  <w:abstractNum w:abstractNumId="1" w15:restartNumberingAfterBreak="0">
    <w:nsid w:val="224B55DF"/>
    <w:multiLevelType w:val="hybridMultilevel"/>
    <w:tmpl w:val="453C9E94"/>
    <w:lvl w:ilvl="0" w:tplc="1C043076">
      <w:start w:val="1"/>
      <w:numFmt w:val="bullet"/>
      <w:lvlText w:val=""/>
      <w:lvlJc w:val="left"/>
      <w:pPr>
        <w:ind w:left="720" w:hanging="360"/>
      </w:pPr>
      <w:rPr>
        <w:rFonts w:ascii="Symbol" w:hAnsi="Symbol"/>
      </w:rPr>
    </w:lvl>
    <w:lvl w:ilvl="1" w:tplc="6E6EF2D6">
      <w:start w:val="1"/>
      <w:numFmt w:val="bullet"/>
      <w:lvlText w:val=""/>
      <w:lvlJc w:val="left"/>
      <w:pPr>
        <w:ind w:left="720" w:hanging="360"/>
      </w:pPr>
      <w:rPr>
        <w:rFonts w:ascii="Symbol" w:hAnsi="Symbol"/>
      </w:rPr>
    </w:lvl>
    <w:lvl w:ilvl="2" w:tplc="9E2A24BA">
      <w:start w:val="1"/>
      <w:numFmt w:val="bullet"/>
      <w:lvlText w:val=""/>
      <w:lvlJc w:val="left"/>
      <w:pPr>
        <w:ind w:left="720" w:hanging="360"/>
      </w:pPr>
      <w:rPr>
        <w:rFonts w:ascii="Symbol" w:hAnsi="Symbol"/>
      </w:rPr>
    </w:lvl>
    <w:lvl w:ilvl="3" w:tplc="547205C8">
      <w:start w:val="1"/>
      <w:numFmt w:val="bullet"/>
      <w:lvlText w:val=""/>
      <w:lvlJc w:val="left"/>
      <w:pPr>
        <w:ind w:left="720" w:hanging="360"/>
      </w:pPr>
      <w:rPr>
        <w:rFonts w:ascii="Symbol" w:hAnsi="Symbol"/>
      </w:rPr>
    </w:lvl>
    <w:lvl w:ilvl="4" w:tplc="481494CA">
      <w:start w:val="1"/>
      <w:numFmt w:val="bullet"/>
      <w:lvlText w:val=""/>
      <w:lvlJc w:val="left"/>
      <w:pPr>
        <w:ind w:left="720" w:hanging="360"/>
      </w:pPr>
      <w:rPr>
        <w:rFonts w:ascii="Symbol" w:hAnsi="Symbol"/>
      </w:rPr>
    </w:lvl>
    <w:lvl w:ilvl="5" w:tplc="888CED36">
      <w:start w:val="1"/>
      <w:numFmt w:val="bullet"/>
      <w:lvlText w:val=""/>
      <w:lvlJc w:val="left"/>
      <w:pPr>
        <w:ind w:left="720" w:hanging="360"/>
      </w:pPr>
      <w:rPr>
        <w:rFonts w:ascii="Symbol" w:hAnsi="Symbol"/>
      </w:rPr>
    </w:lvl>
    <w:lvl w:ilvl="6" w:tplc="E9D8B880">
      <w:start w:val="1"/>
      <w:numFmt w:val="bullet"/>
      <w:lvlText w:val=""/>
      <w:lvlJc w:val="left"/>
      <w:pPr>
        <w:ind w:left="720" w:hanging="360"/>
      </w:pPr>
      <w:rPr>
        <w:rFonts w:ascii="Symbol" w:hAnsi="Symbol"/>
      </w:rPr>
    </w:lvl>
    <w:lvl w:ilvl="7" w:tplc="81D40312">
      <w:start w:val="1"/>
      <w:numFmt w:val="bullet"/>
      <w:lvlText w:val=""/>
      <w:lvlJc w:val="left"/>
      <w:pPr>
        <w:ind w:left="720" w:hanging="360"/>
      </w:pPr>
      <w:rPr>
        <w:rFonts w:ascii="Symbol" w:hAnsi="Symbol"/>
      </w:rPr>
    </w:lvl>
    <w:lvl w:ilvl="8" w:tplc="410245D0">
      <w:start w:val="1"/>
      <w:numFmt w:val="bullet"/>
      <w:lvlText w:val=""/>
      <w:lvlJc w:val="left"/>
      <w:pPr>
        <w:ind w:left="720" w:hanging="360"/>
      </w:pPr>
      <w:rPr>
        <w:rFonts w:ascii="Symbol" w:hAnsi="Symbol"/>
      </w:rPr>
    </w:lvl>
  </w:abstractNum>
  <w:abstractNum w:abstractNumId="2" w15:restartNumberingAfterBreak="0">
    <w:nsid w:val="282D0E4C"/>
    <w:multiLevelType w:val="hybridMultilevel"/>
    <w:tmpl w:val="6F1284CA"/>
    <w:lvl w:ilvl="0" w:tplc="DB5A8A12">
      <w:start w:val="1"/>
      <w:numFmt w:val="decimal"/>
      <w:lvlText w:val="%1."/>
      <w:lvlJc w:val="left"/>
      <w:pPr>
        <w:ind w:left="720" w:hanging="360"/>
      </w:pPr>
    </w:lvl>
    <w:lvl w:ilvl="1" w:tplc="5AC810E8">
      <w:start w:val="1"/>
      <w:numFmt w:val="decimal"/>
      <w:lvlText w:val="%2."/>
      <w:lvlJc w:val="left"/>
      <w:pPr>
        <w:ind w:left="720" w:hanging="360"/>
      </w:pPr>
    </w:lvl>
    <w:lvl w:ilvl="2" w:tplc="0570D77A">
      <w:start w:val="1"/>
      <w:numFmt w:val="decimal"/>
      <w:lvlText w:val="%3."/>
      <w:lvlJc w:val="left"/>
      <w:pPr>
        <w:ind w:left="720" w:hanging="360"/>
      </w:pPr>
    </w:lvl>
    <w:lvl w:ilvl="3" w:tplc="DDCA3CF6">
      <w:start w:val="1"/>
      <w:numFmt w:val="decimal"/>
      <w:lvlText w:val="%4."/>
      <w:lvlJc w:val="left"/>
      <w:pPr>
        <w:ind w:left="720" w:hanging="360"/>
      </w:pPr>
    </w:lvl>
    <w:lvl w:ilvl="4" w:tplc="1D6AE654">
      <w:start w:val="1"/>
      <w:numFmt w:val="decimal"/>
      <w:lvlText w:val="%5."/>
      <w:lvlJc w:val="left"/>
      <w:pPr>
        <w:ind w:left="720" w:hanging="360"/>
      </w:pPr>
    </w:lvl>
    <w:lvl w:ilvl="5" w:tplc="C6044146">
      <w:start w:val="1"/>
      <w:numFmt w:val="decimal"/>
      <w:lvlText w:val="%6."/>
      <w:lvlJc w:val="left"/>
      <w:pPr>
        <w:ind w:left="720" w:hanging="360"/>
      </w:pPr>
    </w:lvl>
    <w:lvl w:ilvl="6" w:tplc="94FE471C">
      <w:start w:val="1"/>
      <w:numFmt w:val="decimal"/>
      <w:lvlText w:val="%7."/>
      <w:lvlJc w:val="left"/>
      <w:pPr>
        <w:ind w:left="720" w:hanging="360"/>
      </w:pPr>
    </w:lvl>
    <w:lvl w:ilvl="7" w:tplc="7E0AB898">
      <w:start w:val="1"/>
      <w:numFmt w:val="decimal"/>
      <w:lvlText w:val="%8."/>
      <w:lvlJc w:val="left"/>
      <w:pPr>
        <w:ind w:left="720" w:hanging="360"/>
      </w:pPr>
    </w:lvl>
    <w:lvl w:ilvl="8" w:tplc="160ABF80">
      <w:start w:val="1"/>
      <w:numFmt w:val="decimal"/>
      <w:lvlText w:val="%9."/>
      <w:lvlJc w:val="left"/>
      <w:pPr>
        <w:ind w:left="720" w:hanging="360"/>
      </w:pPr>
    </w:lvl>
  </w:abstractNum>
  <w:abstractNum w:abstractNumId="3" w15:restartNumberingAfterBreak="0">
    <w:nsid w:val="2E8B4408"/>
    <w:multiLevelType w:val="hybridMultilevel"/>
    <w:tmpl w:val="B09C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F2C15"/>
    <w:multiLevelType w:val="hybridMultilevel"/>
    <w:tmpl w:val="C9E4A496"/>
    <w:lvl w:ilvl="0" w:tplc="75F812A6">
      <w:start w:val="1"/>
      <w:numFmt w:val="decimal"/>
      <w:lvlText w:val="%1."/>
      <w:lvlJc w:val="left"/>
      <w:pPr>
        <w:ind w:left="720" w:hanging="360"/>
      </w:pPr>
    </w:lvl>
    <w:lvl w:ilvl="1" w:tplc="EA0A405E">
      <w:start w:val="1"/>
      <w:numFmt w:val="decimal"/>
      <w:lvlText w:val="%2."/>
      <w:lvlJc w:val="left"/>
      <w:pPr>
        <w:ind w:left="720" w:hanging="360"/>
      </w:pPr>
    </w:lvl>
    <w:lvl w:ilvl="2" w:tplc="B52A8652">
      <w:start w:val="1"/>
      <w:numFmt w:val="decimal"/>
      <w:lvlText w:val="%3."/>
      <w:lvlJc w:val="left"/>
      <w:pPr>
        <w:ind w:left="720" w:hanging="360"/>
      </w:pPr>
    </w:lvl>
    <w:lvl w:ilvl="3" w:tplc="7E2CE0B0">
      <w:start w:val="1"/>
      <w:numFmt w:val="decimal"/>
      <w:lvlText w:val="%4."/>
      <w:lvlJc w:val="left"/>
      <w:pPr>
        <w:ind w:left="720" w:hanging="360"/>
      </w:pPr>
    </w:lvl>
    <w:lvl w:ilvl="4" w:tplc="5AAAC8AA">
      <w:start w:val="1"/>
      <w:numFmt w:val="decimal"/>
      <w:lvlText w:val="%5."/>
      <w:lvlJc w:val="left"/>
      <w:pPr>
        <w:ind w:left="720" w:hanging="360"/>
      </w:pPr>
    </w:lvl>
    <w:lvl w:ilvl="5" w:tplc="A3187C92">
      <w:start w:val="1"/>
      <w:numFmt w:val="decimal"/>
      <w:lvlText w:val="%6."/>
      <w:lvlJc w:val="left"/>
      <w:pPr>
        <w:ind w:left="720" w:hanging="360"/>
      </w:pPr>
    </w:lvl>
    <w:lvl w:ilvl="6" w:tplc="819E158E">
      <w:start w:val="1"/>
      <w:numFmt w:val="decimal"/>
      <w:lvlText w:val="%7."/>
      <w:lvlJc w:val="left"/>
      <w:pPr>
        <w:ind w:left="720" w:hanging="360"/>
      </w:pPr>
    </w:lvl>
    <w:lvl w:ilvl="7" w:tplc="4DB819B2">
      <w:start w:val="1"/>
      <w:numFmt w:val="decimal"/>
      <w:lvlText w:val="%8."/>
      <w:lvlJc w:val="left"/>
      <w:pPr>
        <w:ind w:left="720" w:hanging="360"/>
      </w:pPr>
    </w:lvl>
    <w:lvl w:ilvl="8" w:tplc="0CA226BE">
      <w:start w:val="1"/>
      <w:numFmt w:val="decimal"/>
      <w:lvlText w:val="%9."/>
      <w:lvlJc w:val="left"/>
      <w:pPr>
        <w:ind w:left="720" w:hanging="360"/>
      </w:pPr>
    </w:lvl>
  </w:abstractNum>
  <w:abstractNum w:abstractNumId="5" w15:restartNumberingAfterBreak="0">
    <w:nsid w:val="5FED4214"/>
    <w:multiLevelType w:val="hybridMultilevel"/>
    <w:tmpl w:val="99E8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15E28"/>
    <w:multiLevelType w:val="hybridMultilevel"/>
    <w:tmpl w:val="02EA08A8"/>
    <w:lvl w:ilvl="0" w:tplc="987664D6">
      <w:start w:val="1"/>
      <w:numFmt w:val="decimal"/>
      <w:lvlText w:val="%1."/>
      <w:lvlJc w:val="left"/>
      <w:pPr>
        <w:ind w:left="720" w:hanging="360"/>
      </w:pPr>
    </w:lvl>
    <w:lvl w:ilvl="1" w:tplc="CCE4E374">
      <w:start w:val="1"/>
      <w:numFmt w:val="decimal"/>
      <w:lvlText w:val="%2."/>
      <w:lvlJc w:val="left"/>
      <w:pPr>
        <w:ind w:left="720" w:hanging="360"/>
      </w:pPr>
    </w:lvl>
    <w:lvl w:ilvl="2" w:tplc="5C9070DC">
      <w:start w:val="1"/>
      <w:numFmt w:val="decimal"/>
      <w:lvlText w:val="%3."/>
      <w:lvlJc w:val="left"/>
      <w:pPr>
        <w:ind w:left="720" w:hanging="360"/>
      </w:pPr>
    </w:lvl>
    <w:lvl w:ilvl="3" w:tplc="4754D6C0">
      <w:start w:val="1"/>
      <w:numFmt w:val="decimal"/>
      <w:lvlText w:val="%4."/>
      <w:lvlJc w:val="left"/>
      <w:pPr>
        <w:ind w:left="720" w:hanging="360"/>
      </w:pPr>
    </w:lvl>
    <w:lvl w:ilvl="4" w:tplc="FD1A9112">
      <w:start w:val="1"/>
      <w:numFmt w:val="decimal"/>
      <w:lvlText w:val="%5."/>
      <w:lvlJc w:val="left"/>
      <w:pPr>
        <w:ind w:left="720" w:hanging="360"/>
      </w:pPr>
    </w:lvl>
    <w:lvl w:ilvl="5" w:tplc="F26EEC74">
      <w:start w:val="1"/>
      <w:numFmt w:val="decimal"/>
      <w:lvlText w:val="%6."/>
      <w:lvlJc w:val="left"/>
      <w:pPr>
        <w:ind w:left="720" w:hanging="360"/>
      </w:pPr>
    </w:lvl>
    <w:lvl w:ilvl="6" w:tplc="D36EC358">
      <w:start w:val="1"/>
      <w:numFmt w:val="decimal"/>
      <w:lvlText w:val="%7."/>
      <w:lvlJc w:val="left"/>
      <w:pPr>
        <w:ind w:left="720" w:hanging="360"/>
      </w:pPr>
    </w:lvl>
    <w:lvl w:ilvl="7" w:tplc="8B34C62C">
      <w:start w:val="1"/>
      <w:numFmt w:val="decimal"/>
      <w:lvlText w:val="%8."/>
      <w:lvlJc w:val="left"/>
      <w:pPr>
        <w:ind w:left="720" w:hanging="360"/>
      </w:pPr>
    </w:lvl>
    <w:lvl w:ilvl="8" w:tplc="2D9E71A8">
      <w:start w:val="1"/>
      <w:numFmt w:val="decimal"/>
      <w:lvlText w:val="%9."/>
      <w:lvlJc w:val="left"/>
      <w:pPr>
        <w:ind w:left="720" w:hanging="360"/>
      </w:pPr>
    </w:lvl>
  </w:abstractNum>
  <w:abstractNum w:abstractNumId="7" w15:restartNumberingAfterBreak="0">
    <w:nsid w:val="625224F2"/>
    <w:multiLevelType w:val="hybridMultilevel"/>
    <w:tmpl w:val="1A708B6E"/>
    <w:lvl w:ilvl="0" w:tplc="8EF6D7FE">
      <w:start w:val="1"/>
      <w:numFmt w:val="decimal"/>
      <w:lvlText w:val="%1."/>
      <w:lvlJc w:val="left"/>
      <w:pPr>
        <w:ind w:left="720" w:hanging="360"/>
      </w:pPr>
    </w:lvl>
    <w:lvl w:ilvl="1" w:tplc="BDB210C8">
      <w:start w:val="1"/>
      <w:numFmt w:val="decimal"/>
      <w:lvlText w:val="%2."/>
      <w:lvlJc w:val="left"/>
      <w:pPr>
        <w:ind w:left="720" w:hanging="360"/>
      </w:pPr>
    </w:lvl>
    <w:lvl w:ilvl="2" w:tplc="315AB3D6">
      <w:start w:val="1"/>
      <w:numFmt w:val="decimal"/>
      <w:lvlText w:val="%3."/>
      <w:lvlJc w:val="left"/>
      <w:pPr>
        <w:ind w:left="720" w:hanging="360"/>
      </w:pPr>
    </w:lvl>
    <w:lvl w:ilvl="3" w:tplc="C390E51A">
      <w:start w:val="1"/>
      <w:numFmt w:val="decimal"/>
      <w:lvlText w:val="%4."/>
      <w:lvlJc w:val="left"/>
      <w:pPr>
        <w:ind w:left="720" w:hanging="360"/>
      </w:pPr>
    </w:lvl>
    <w:lvl w:ilvl="4" w:tplc="A08EF9B6">
      <w:start w:val="1"/>
      <w:numFmt w:val="decimal"/>
      <w:lvlText w:val="%5."/>
      <w:lvlJc w:val="left"/>
      <w:pPr>
        <w:ind w:left="720" w:hanging="360"/>
      </w:pPr>
    </w:lvl>
    <w:lvl w:ilvl="5" w:tplc="410E0496">
      <w:start w:val="1"/>
      <w:numFmt w:val="decimal"/>
      <w:lvlText w:val="%6."/>
      <w:lvlJc w:val="left"/>
      <w:pPr>
        <w:ind w:left="720" w:hanging="360"/>
      </w:pPr>
    </w:lvl>
    <w:lvl w:ilvl="6" w:tplc="5DA02326">
      <w:start w:val="1"/>
      <w:numFmt w:val="decimal"/>
      <w:lvlText w:val="%7."/>
      <w:lvlJc w:val="left"/>
      <w:pPr>
        <w:ind w:left="720" w:hanging="360"/>
      </w:pPr>
    </w:lvl>
    <w:lvl w:ilvl="7" w:tplc="EDD6D2DA">
      <w:start w:val="1"/>
      <w:numFmt w:val="decimal"/>
      <w:lvlText w:val="%8."/>
      <w:lvlJc w:val="left"/>
      <w:pPr>
        <w:ind w:left="720" w:hanging="360"/>
      </w:pPr>
    </w:lvl>
    <w:lvl w:ilvl="8" w:tplc="B6B83F5A">
      <w:start w:val="1"/>
      <w:numFmt w:val="decimal"/>
      <w:lvlText w:val="%9."/>
      <w:lvlJc w:val="left"/>
      <w:pPr>
        <w:ind w:left="720" w:hanging="360"/>
      </w:pPr>
    </w:lvl>
  </w:abstractNum>
  <w:abstractNum w:abstractNumId="8" w15:restartNumberingAfterBreak="0">
    <w:nsid w:val="6A516BFD"/>
    <w:multiLevelType w:val="hybridMultilevel"/>
    <w:tmpl w:val="2878E61E"/>
    <w:lvl w:ilvl="0" w:tplc="AD8E8CE2">
      <w:start w:val="1"/>
      <w:numFmt w:val="decimal"/>
      <w:lvlText w:val="%1."/>
      <w:lvlJc w:val="left"/>
      <w:pPr>
        <w:ind w:left="720" w:hanging="360"/>
      </w:pPr>
    </w:lvl>
    <w:lvl w:ilvl="1" w:tplc="238AACC2">
      <w:start w:val="1"/>
      <w:numFmt w:val="decimal"/>
      <w:lvlText w:val="%2."/>
      <w:lvlJc w:val="left"/>
      <w:pPr>
        <w:ind w:left="720" w:hanging="360"/>
      </w:pPr>
    </w:lvl>
    <w:lvl w:ilvl="2" w:tplc="2A7C4000">
      <w:start w:val="1"/>
      <w:numFmt w:val="decimal"/>
      <w:lvlText w:val="%3."/>
      <w:lvlJc w:val="left"/>
      <w:pPr>
        <w:ind w:left="720" w:hanging="360"/>
      </w:pPr>
    </w:lvl>
    <w:lvl w:ilvl="3" w:tplc="BFD25A58">
      <w:start w:val="1"/>
      <w:numFmt w:val="decimal"/>
      <w:lvlText w:val="%4."/>
      <w:lvlJc w:val="left"/>
      <w:pPr>
        <w:ind w:left="720" w:hanging="360"/>
      </w:pPr>
    </w:lvl>
    <w:lvl w:ilvl="4" w:tplc="467A10D6">
      <w:start w:val="1"/>
      <w:numFmt w:val="decimal"/>
      <w:lvlText w:val="%5."/>
      <w:lvlJc w:val="left"/>
      <w:pPr>
        <w:ind w:left="720" w:hanging="360"/>
      </w:pPr>
    </w:lvl>
    <w:lvl w:ilvl="5" w:tplc="2B860140">
      <w:start w:val="1"/>
      <w:numFmt w:val="decimal"/>
      <w:lvlText w:val="%6."/>
      <w:lvlJc w:val="left"/>
      <w:pPr>
        <w:ind w:left="720" w:hanging="360"/>
      </w:pPr>
    </w:lvl>
    <w:lvl w:ilvl="6" w:tplc="71844DF4">
      <w:start w:val="1"/>
      <w:numFmt w:val="decimal"/>
      <w:lvlText w:val="%7."/>
      <w:lvlJc w:val="left"/>
      <w:pPr>
        <w:ind w:left="720" w:hanging="360"/>
      </w:pPr>
    </w:lvl>
    <w:lvl w:ilvl="7" w:tplc="DDC6B3E6">
      <w:start w:val="1"/>
      <w:numFmt w:val="decimal"/>
      <w:lvlText w:val="%8."/>
      <w:lvlJc w:val="left"/>
      <w:pPr>
        <w:ind w:left="720" w:hanging="360"/>
      </w:pPr>
    </w:lvl>
    <w:lvl w:ilvl="8" w:tplc="F2A2BDD0">
      <w:start w:val="1"/>
      <w:numFmt w:val="decimal"/>
      <w:lvlText w:val="%9."/>
      <w:lvlJc w:val="left"/>
      <w:pPr>
        <w:ind w:left="720" w:hanging="360"/>
      </w:pPr>
    </w:lvl>
  </w:abstractNum>
  <w:abstractNum w:abstractNumId="9" w15:restartNumberingAfterBreak="0">
    <w:nsid w:val="6D3C53F5"/>
    <w:multiLevelType w:val="hybridMultilevel"/>
    <w:tmpl w:val="6B8415E6"/>
    <w:lvl w:ilvl="0" w:tplc="57A0ED4A">
      <w:start w:val="1"/>
      <w:numFmt w:val="decimal"/>
      <w:lvlText w:val="%1."/>
      <w:lvlJc w:val="left"/>
      <w:pPr>
        <w:ind w:left="720" w:hanging="360"/>
      </w:pPr>
    </w:lvl>
    <w:lvl w:ilvl="1" w:tplc="F80A2318">
      <w:start w:val="1"/>
      <w:numFmt w:val="decimal"/>
      <w:lvlText w:val="%2."/>
      <w:lvlJc w:val="left"/>
      <w:pPr>
        <w:ind w:left="720" w:hanging="360"/>
      </w:pPr>
    </w:lvl>
    <w:lvl w:ilvl="2" w:tplc="A9246742">
      <w:start w:val="1"/>
      <w:numFmt w:val="decimal"/>
      <w:lvlText w:val="%3."/>
      <w:lvlJc w:val="left"/>
      <w:pPr>
        <w:ind w:left="720" w:hanging="360"/>
      </w:pPr>
    </w:lvl>
    <w:lvl w:ilvl="3" w:tplc="EA46232C">
      <w:start w:val="1"/>
      <w:numFmt w:val="decimal"/>
      <w:lvlText w:val="%4."/>
      <w:lvlJc w:val="left"/>
      <w:pPr>
        <w:ind w:left="720" w:hanging="360"/>
      </w:pPr>
    </w:lvl>
    <w:lvl w:ilvl="4" w:tplc="9E548358">
      <w:start w:val="1"/>
      <w:numFmt w:val="decimal"/>
      <w:lvlText w:val="%5."/>
      <w:lvlJc w:val="left"/>
      <w:pPr>
        <w:ind w:left="720" w:hanging="360"/>
      </w:pPr>
    </w:lvl>
    <w:lvl w:ilvl="5" w:tplc="2B8E6810">
      <w:start w:val="1"/>
      <w:numFmt w:val="decimal"/>
      <w:lvlText w:val="%6."/>
      <w:lvlJc w:val="left"/>
      <w:pPr>
        <w:ind w:left="720" w:hanging="360"/>
      </w:pPr>
    </w:lvl>
    <w:lvl w:ilvl="6" w:tplc="89E48456">
      <w:start w:val="1"/>
      <w:numFmt w:val="decimal"/>
      <w:lvlText w:val="%7."/>
      <w:lvlJc w:val="left"/>
      <w:pPr>
        <w:ind w:left="720" w:hanging="360"/>
      </w:pPr>
    </w:lvl>
    <w:lvl w:ilvl="7" w:tplc="7ABAA8DC">
      <w:start w:val="1"/>
      <w:numFmt w:val="decimal"/>
      <w:lvlText w:val="%8."/>
      <w:lvlJc w:val="left"/>
      <w:pPr>
        <w:ind w:left="720" w:hanging="360"/>
      </w:pPr>
    </w:lvl>
    <w:lvl w:ilvl="8" w:tplc="94D66412">
      <w:start w:val="1"/>
      <w:numFmt w:val="decimal"/>
      <w:lvlText w:val="%9."/>
      <w:lvlJc w:val="left"/>
      <w:pPr>
        <w:ind w:left="720" w:hanging="360"/>
      </w:pPr>
    </w:lvl>
  </w:abstractNum>
  <w:abstractNum w:abstractNumId="10" w15:restartNumberingAfterBreak="0">
    <w:nsid w:val="77030421"/>
    <w:multiLevelType w:val="hybridMultilevel"/>
    <w:tmpl w:val="0672C6F6"/>
    <w:lvl w:ilvl="0" w:tplc="64601122">
      <w:start w:val="1"/>
      <w:numFmt w:val="bullet"/>
      <w:lvlText w:val=""/>
      <w:lvlJc w:val="left"/>
      <w:pPr>
        <w:ind w:left="720" w:hanging="360"/>
      </w:pPr>
      <w:rPr>
        <w:rFonts w:ascii="Symbol" w:hAnsi="Symbol"/>
      </w:rPr>
    </w:lvl>
    <w:lvl w:ilvl="1" w:tplc="B7F26F6C">
      <w:start w:val="1"/>
      <w:numFmt w:val="bullet"/>
      <w:lvlText w:val=""/>
      <w:lvlJc w:val="left"/>
      <w:pPr>
        <w:ind w:left="720" w:hanging="360"/>
      </w:pPr>
      <w:rPr>
        <w:rFonts w:ascii="Symbol" w:hAnsi="Symbol"/>
      </w:rPr>
    </w:lvl>
    <w:lvl w:ilvl="2" w:tplc="20188C4A">
      <w:start w:val="1"/>
      <w:numFmt w:val="bullet"/>
      <w:lvlText w:val=""/>
      <w:lvlJc w:val="left"/>
      <w:pPr>
        <w:ind w:left="720" w:hanging="360"/>
      </w:pPr>
      <w:rPr>
        <w:rFonts w:ascii="Symbol" w:hAnsi="Symbol"/>
      </w:rPr>
    </w:lvl>
    <w:lvl w:ilvl="3" w:tplc="59661304">
      <w:start w:val="1"/>
      <w:numFmt w:val="bullet"/>
      <w:lvlText w:val=""/>
      <w:lvlJc w:val="left"/>
      <w:pPr>
        <w:ind w:left="720" w:hanging="360"/>
      </w:pPr>
      <w:rPr>
        <w:rFonts w:ascii="Symbol" w:hAnsi="Symbol"/>
      </w:rPr>
    </w:lvl>
    <w:lvl w:ilvl="4" w:tplc="E31A18FA">
      <w:start w:val="1"/>
      <w:numFmt w:val="bullet"/>
      <w:lvlText w:val=""/>
      <w:lvlJc w:val="left"/>
      <w:pPr>
        <w:ind w:left="720" w:hanging="360"/>
      </w:pPr>
      <w:rPr>
        <w:rFonts w:ascii="Symbol" w:hAnsi="Symbol"/>
      </w:rPr>
    </w:lvl>
    <w:lvl w:ilvl="5" w:tplc="B86C796E">
      <w:start w:val="1"/>
      <w:numFmt w:val="bullet"/>
      <w:lvlText w:val=""/>
      <w:lvlJc w:val="left"/>
      <w:pPr>
        <w:ind w:left="720" w:hanging="360"/>
      </w:pPr>
      <w:rPr>
        <w:rFonts w:ascii="Symbol" w:hAnsi="Symbol"/>
      </w:rPr>
    </w:lvl>
    <w:lvl w:ilvl="6" w:tplc="D304F498">
      <w:start w:val="1"/>
      <w:numFmt w:val="bullet"/>
      <w:lvlText w:val=""/>
      <w:lvlJc w:val="left"/>
      <w:pPr>
        <w:ind w:left="720" w:hanging="360"/>
      </w:pPr>
      <w:rPr>
        <w:rFonts w:ascii="Symbol" w:hAnsi="Symbol"/>
      </w:rPr>
    </w:lvl>
    <w:lvl w:ilvl="7" w:tplc="2D8A91B4">
      <w:start w:val="1"/>
      <w:numFmt w:val="bullet"/>
      <w:lvlText w:val=""/>
      <w:lvlJc w:val="left"/>
      <w:pPr>
        <w:ind w:left="720" w:hanging="360"/>
      </w:pPr>
      <w:rPr>
        <w:rFonts w:ascii="Symbol" w:hAnsi="Symbol"/>
      </w:rPr>
    </w:lvl>
    <w:lvl w:ilvl="8" w:tplc="19CAB892">
      <w:start w:val="1"/>
      <w:numFmt w:val="bullet"/>
      <w:lvlText w:val=""/>
      <w:lvlJc w:val="left"/>
      <w:pPr>
        <w:ind w:left="720" w:hanging="360"/>
      </w:pPr>
      <w:rPr>
        <w:rFonts w:ascii="Symbol" w:hAnsi="Symbol"/>
      </w:rPr>
    </w:lvl>
  </w:abstractNum>
  <w:num w:numId="1" w16cid:durableId="1984234065">
    <w:abstractNumId w:val="3"/>
  </w:num>
  <w:num w:numId="2" w16cid:durableId="397364771">
    <w:abstractNumId w:val="5"/>
  </w:num>
  <w:num w:numId="3" w16cid:durableId="628780623">
    <w:abstractNumId w:val="8"/>
  </w:num>
  <w:num w:numId="4" w16cid:durableId="1190679782">
    <w:abstractNumId w:val="1"/>
  </w:num>
  <w:num w:numId="5" w16cid:durableId="1666587499">
    <w:abstractNumId w:val="6"/>
  </w:num>
  <w:num w:numId="6" w16cid:durableId="797576697">
    <w:abstractNumId w:val="9"/>
  </w:num>
  <w:num w:numId="7" w16cid:durableId="1581520183">
    <w:abstractNumId w:val="0"/>
  </w:num>
  <w:num w:numId="8" w16cid:durableId="381514811">
    <w:abstractNumId w:val="2"/>
  </w:num>
  <w:num w:numId="9" w16cid:durableId="1438595953">
    <w:abstractNumId w:val="4"/>
  </w:num>
  <w:num w:numId="10" w16cid:durableId="455024604">
    <w:abstractNumId w:val="10"/>
  </w:num>
  <w:num w:numId="11" w16cid:durableId="15858718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EDB"/>
    <w:rsid w:val="00012BD6"/>
    <w:rsid w:val="00040F2A"/>
    <w:rsid w:val="0004123D"/>
    <w:rsid w:val="00057592"/>
    <w:rsid w:val="0007334C"/>
    <w:rsid w:val="00080047"/>
    <w:rsid w:val="000B1BE7"/>
    <w:rsid w:val="000C63F6"/>
    <w:rsid w:val="000F7DA6"/>
    <w:rsid w:val="00101253"/>
    <w:rsid w:val="00105E82"/>
    <w:rsid w:val="00113EDB"/>
    <w:rsid w:val="00117A90"/>
    <w:rsid w:val="00127E75"/>
    <w:rsid w:val="001337EF"/>
    <w:rsid w:val="00147988"/>
    <w:rsid w:val="00157858"/>
    <w:rsid w:val="001725AA"/>
    <w:rsid w:val="00183D6A"/>
    <w:rsid w:val="001B007F"/>
    <w:rsid w:val="001B4D9E"/>
    <w:rsid w:val="001D2DE7"/>
    <w:rsid w:val="001E0328"/>
    <w:rsid w:val="001E236C"/>
    <w:rsid w:val="001F5587"/>
    <w:rsid w:val="0021393D"/>
    <w:rsid w:val="00254C38"/>
    <w:rsid w:val="00264ECC"/>
    <w:rsid w:val="00265ED2"/>
    <w:rsid w:val="00270784"/>
    <w:rsid w:val="002730BC"/>
    <w:rsid w:val="002A5E48"/>
    <w:rsid w:val="002A7453"/>
    <w:rsid w:val="002B097A"/>
    <w:rsid w:val="002B0E1E"/>
    <w:rsid w:val="002E3CBE"/>
    <w:rsid w:val="002E5577"/>
    <w:rsid w:val="002F70B2"/>
    <w:rsid w:val="00317B84"/>
    <w:rsid w:val="00321A6B"/>
    <w:rsid w:val="00322FCA"/>
    <w:rsid w:val="00325791"/>
    <w:rsid w:val="0033692C"/>
    <w:rsid w:val="00346CD8"/>
    <w:rsid w:val="00380DCF"/>
    <w:rsid w:val="00381201"/>
    <w:rsid w:val="003812EA"/>
    <w:rsid w:val="00387B3F"/>
    <w:rsid w:val="003D451D"/>
    <w:rsid w:val="003E037E"/>
    <w:rsid w:val="00423930"/>
    <w:rsid w:val="0043355B"/>
    <w:rsid w:val="00445D1A"/>
    <w:rsid w:val="004663F7"/>
    <w:rsid w:val="004709C0"/>
    <w:rsid w:val="00486F57"/>
    <w:rsid w:val="004A5F90"/>
    <w:rsid w:val="004B3B8B"/>
    <w:rsid w:val="004B53C9"/>
    <w:rsid w:val="004B71D3"/>
    <w:rsid w:val="004C59F0"/>
    <w:rsid w:val="004C6036"/>
    <w:rsid w:val="004F7772"/>
    <w:rsid w:val="00520732"/>
    <w:rsid w:val="005217BB"/>
    <w:rsid w:val="00522108"/>
    <w:rsid w:val="00525A6A"/>
    <w:rsid w:val="005439A8"/>
    <w:rsid w:val="00556CCA"/>
    <w:rsid w:val="00557B58"/>
    <w:rsid w:val="005A0801"/>
    <w:rsid w:val="005B017F"/>
    <w:rsid w:val="005D2332"/>
    <w:rsid w:val="005D4FB3"/>
    <w:rsid w:val="00615CAD"/>
    <w:rsid w:val="0064519B"/>
    <w:rsid w:val="0066558D"/>
    <w:rsid w:val="00673FEA"/>
    <w:rsid w:val="00675B32"/>
    <w:rsid w:val="006B379E"/>
    <w:rsid w:val="006B514D"/>
    <w:rsid w:val="006C7FDE"/>
    <w:rsid w:val="006E1CAF"/>
    <w:rsid w:val="006E6158"/>
    <w:rsid w:val="006F7D09"/>
    <w:rsid w:val="007034C5"/>
    <w:rsid w:val="007072FC"/>
    <w:rsid w:val="007126B2"/>
    <w:rsid w:val="007218FE"/>
    <w:rsid w:val="00726446"/>
    <w:rsid w:val="00736FCA"/>
    <w:rsid w:val="00756877"/>
    <w:rsid w:val="00793240"/>
    <w:rsid w:val="007B17CB"/>
    <w:rsid w:val="007B31D3"/>
    <w:rsid w:val="007B64E2"/>
    <w:rsid w:val="007C71D6"/>
    <w:rsid w:val="007C7915"/>
    <w:rsid w:val="007E1081"/>
    <w:rsid w:val="007E6A41"/>
    <w:rsid w:val="008034F6"/>
    <w:rsid w:val="00804387"/>
    <w:rsid w:val="00813620"/>
    <w:rsid w:val="00835888"/>
    <w:rsid w:val="0084779C"/>
    <w:rsid w:val="008567C5"/>
    <w:rsid w:val="00861210"/>
    <w:rsid w:val="0086338B"/>
    <w:rsid w:val="00864AFC"/>
    <w:rsid w:val="008744B0"/>
    <w:rsid w:val="008D6A74"/>
    <w:rsid w:val="008F1C67"/>
    <w:rsid w:val="008F230B"/>
    <w:rsid w:val="008F52C9"/>
    <w:rsid w:val="00914608"/>
    <w:rsid w:val="009154AD"/>
    <w:rsid w:val="00925EF3"/>
    <w:rsid w:val="009308ED"/>
    <w:rsid w:val="0093353B"/>
    <w:rsid w:val="00946D2F"/>
    <w:rsid w:val="0097551C"/>
    <w:rsid w:val="009804AA"/>
    <w:rsid w:val="009D05E2"/>
    <w:rsid w:val="009F64EC"/>
    <w:rsid w:val="009F7207"/>
    <w:rsid w:val="00A138CB"/>
    <w:rsid w:val="00A34025"/>
    <w:rsid w:val="00A3453C"/>
    <w:rsid w:val="00A570FB"/>
    <w:rsid w:val="00A76007"/>
    <w:rsid w:val="00A83B89"/>
    <w:rsid w:val="00A93792"/>
    <w:rsid w:val="00AA060C"/>
    <w:rsid w:val="00AC1ED7"/>
    <w:rsid w:val="00AC6CF7"/>
    <w:rsid w:val="00AD689F"/>
    <w:rsid w:val="00AE5027"/>
    <w:rsid w:val="00AE699E"/>
    <w:rsid w:val="00B06E95"/>
    <w:rsid w:val="00B329BC"/>
    <w:rsid w:val="00B4336D"/>
    <w:rsid w:val="00B5367C"/>
    <w:rsid w:val="00B5526D"/>
    <w:rsid w:val="00B57209"/>
    <w:rsid w:val="00B711C2"/>
    <w:rsid w:val="00B725C0"/>
    <w:rsid w:val="00B742BD"/>
    <w:rsid w:val="00B7633C"/>
    <w:rsid w:val="00B803C6"/>
    <w:rsid w:val="00B90539"/>
    <w:rsid w:val="00B964FA"/>
    <w:rsid w:val="00B9788A"/>
    <w:rsid w:val="00BA191F"/>
    <w:rsid w:val="00BC6B6C"/>
    <w:rsid w:val="00BD35D6"/>
    <w:rsid w:val="00BD51FF"/>
    <w:rsid w:val="00C22DFC"/>
    <w:rsid w:val="00C235C4"/>
    <w:rsid w:val="00C259FF"/>
    <w:rsid w:val="00C30ED8"/>
    <w:rsid w:val="00C33D31"/>
    <w:rsid w:val="00C467E9"/>
    <w:rsid w:val="00C52204"/>
    <w:rsid w:val="00C60D9C"/>
    <w:rsid w:val="00C64EAE"/>
    <w:rsid w:val="00C81849"/>
    <w:rsid w:val="00C84DC0"/>
    <w:rsid w:val="00C8695F"/>
    <w:rsid w:val="00CA5E1C"/>
    <w:rsid w:val="00CB2120"/>
    <w:rsid w:val="00CB4C5B"/>
    <w:rsid w:val="00CD2712"/>
    <w:rsid w:val="00CD4981"/>
    <w:rsid w:val="00CE150E"/>
    <w:rsid w:val="00D0785A"/>
    <w:rsid w:val="00D175D3"/>
    <w:rsid w:val="00D202B9"/>
    <w:rsid w:val="00D216F1"/>
    <w:rsid w:val="00D22F4B"/>
    <w:rsid w:val="00D417BB"/>
    <w:rsid w:val="00D41DF4"/>
    <w:rsid w:val="00D45567"/>
    <w:rsid w:val="00D559E9"/>
    <w:rsid w:val="00D61860"/>
    <w:rsid w:val="00D67EEC"/>
    <w:rsid w:val="00D8346C"/>
    <w:rsid w:val="00D84037"/>
    <w:rsid w:val="00DB4D37"/>
    <w:rsid w:val="00DC14D1"/>
    <w:rsid w:val="00DC58B2"/>
    <w:rsid w:val="00DD34AC"/>
    <w:rsid w:val="00DD5060"/>
    <w:rsid w:val="00DD72EC"/>
    <w:rsid w:val="00DE424D"/>
    <w:rsid w:val="00DF28A0"/>
    <w:rsid w:val="00E25C7C"/>
    <w:rsid w:val="00E31C28"/>
    <w:rsid w:val="00E45CFB"/>
    <w:rsid w:val="00E4784E"/>
    <w:rsid w:val="00E506AA"/>
    <w:rsid w:val="00E83AA6"/>
    <w:rsid w:val="00E95262"/>
    <w:rsid w:val="00EA2AAD"/>
    <w:rsid w:val="00EF4837"/>
    <w:rsid w:val="00EF53AC"/>
    <w:rsid w:val="00F04BE5"/>
    <w:rsid w:val="00F103AB"/>
    <w:rsid w:val="00F15167"/>
    <w:rsid w:val="00F17CEE"/>
    <w:rsid w:val="00F23D48"/>
    <w:rsid w:val="00F57594"/>
    <w:rsid w:val="00F662AB"/>
    <w:rsid w:val="00F831BD"/>
    <w:rsid w:val="00FA28FF"/>
    <w:rsid w:val="00FD742F"/>
    <w:rsid w:val="00FE08CD"/>
    <w:rsid w:val="00FF2845"/>
    <w:rsid w:val="00FF2E0B"/>
    <w:rsid w:val="59211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B89261"/>
  <w15:docId w15:val="{FC14235B-EECE-44DB-96A2-8913488D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B8B"/>
    <w:pPr>
      <w:spacing w:before="120" w:after="120"/>
    </w:pPr>
  </w:style>
  <w:style w:type="paragraph" w:styleId="Heading1">
    <w:name w:val="heading 1"/>
    <w:link w:val="Heading1Char"/>
    <w:uiPriority w:val="9"/>
    <w:qFormat/>
    <w:rsid w:val="00113EDB"/>
    <w:pPr>
      <w:spacing w:after="0" w:line="240" w:lineRule="auto"/>
      <w:jc w:val="center"/>
      <w:outlineLvl w:val="0"/>
    </w:pPr>
    <w:rPr>
      <w:rFonts w:ascii="Arial" w:hAnsi="Arial" w:cs="Arial"/>
      <w:b/>
      <w:color w:val="006F42"/>
      <w:sz w:val="40"/>
      <w:szCs w:val="40"/>
    </w:rPr>
  </w:style>
  <w:style w:type="paragraph" w:styleId="Heading2">
    <w:name w:val="heading 2"/>
    <w:next w:val="Normal"/>
    <w:link w:val="Heading2Char"/>
    <w:uiPriority w:val="9"/>
    <w:unhideWhenUsed/>
    <w:qFormat/>
    <w:rsid w:val="00387B3F"/>
    <w:pPr>
      <w:spacing w:before="360" w:after="180" w:line="240" w:lineRule="auto"/>
      <w:ind w:right="230"/>
      <w:jc w:val="center"/>
      <w:outlineLvl w:val="1"/>
    </w:pPr>
    <w:rPr>
      <w:rFonts w:ascii="Arial" w:eastAsiaTheme="majorEastAsia" w:hAnsi="Arial" w:cstheme="minorHAnsi"/>
      <w:b/>
      <w:bCs/>
      <w:noProof/>
      <w:color w:val="CA602C"/>
      <w:sz w:val="28"/>
      <w:szCs w:val="32"/>
    </w:rPr>
  </w:style>
  <w:style w:type="paragraph" w:styleId="Heading3">
    <w:name w:val="heading 3"/>
    <w:basedOn w:val="Normal"/>
    <w:next w:val="Normal"/>
    <w:link w:val="Heading3Char"/>
    <w:uiPriority w:val="9"/>
    <w:unhideWhenUsed/>
    <w:qFormat/>
    <w:rsid w:val="004B3B8B"/>
    <w:pPr>
      <w:keepNext/>
      <w:keepLines/>
      <w:spacing w:before="200" w:after="0"/>
      <w:ind w:left="90"/>
      <w:outlineLvl w:val="2"/>
    </w:pPr>
    <w:rPr>
      <w:rFonts w:ascii="Arial Narrow" w:eastAsiaTheme="majorEastAsia" w:hAnsi="Arial Narrow" w:cstheme="minorHAnsi"/>
      <w:b/>
      <w:bCs/>
      <w:noProof/>
      <w:color w:val="006F42"/>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EDB"/>
    <w:rPr>
      <w:rFonts w:ascii="Arial" w:hAnsi="Arial" w:cs="Arial"/>
      <w:b/>
      <w:color w:val="006F42"/>
      <w:sz w:val="40"/>
      <w:szCs w:val="40"/>
    </w:rPr>
  </w:style>
  <w:style w:type="character" w:customStyle="1" w:styleId="Heading2Char">
    <w:name w:val="Heading 2 Char"/>
    <w:basedOn w:val="DefaultParagraphFont"/>
    <w:link w:val="Heading2"/>
    <w:uiPriority w:val="9"/>
    <w:rsid w:val="00387B3F"/>
    <w:rPr>
      <w:rFonts w:ascii="Arial" w:eastAsiaTheme="majorEastAsia" w:hAnsi="Arial" w:cstheme="minorHAnsi"/>
      <w:b/>
      <w:bCs/>
      <w:noProof/>
      <w:color w:val="CA602C"/>
      <w:sz w:val="28"/>
      <w:szCs w:val="32"/>
    </w:rPr>
  </w:style>
  <w:style w:type="paragraph" w:styleId="Header">
    <w:name w:val="header"/>
    <w:basedOn w:val="Normal"/>
    <w:link w:val="HeaderChar"/>
    <w:uiPriority w:val="99"/>
    <w:unhideWhenUsed/>
    <w:rsid w:val="00113ED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13EDB"/>
  </w:style>
  <w:style w:type="table" w:styleId="TableGrid">
    <w:name w:val="Table Grid"/>
    <w:basedOn w:val="TableNormal"/>
    <w:uiPriority w:val="59"/>
    <w:rsid w:val="00113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qFormat/>
    <w:rsid w:val="004B3B8B"/>
    <w:pPr>
      <w:spacing w:after="240" w:line="300" w:lineRule="exact"/>
      <w:ind w:left="90" w:right="230"/>
    </w:pPr>
    <w:rPr>
      <w:rFonts w:ascii="Arial Narrow" w:hAnsi="Arial Narrow" w:cstheme="minorHAnsi"/>
      <w:bCs/>
      <w:szCs w:val="20"/>
    </w:rPr>
  </w:style>
  <w:style w:type="character" w:styleId="FootnoteReference">
    <w:name w:val="footnote reference"/>
    <w:basedOn w:val="DefaultParagraphFont"/>
    <w:uiPriority w:val="99"/>
    <w:semiHidden/>
    <w:unhideWhenUsed/>
    <w:rsid w:val="00113EDB"/>
    <w:rPr>
      <w:vertAlign w:val="superscript"/>
    </w:rPr>
  </w:style>
  <w:style w:type="paragraph" w:styleId="BalloonText">
    <w:name w:val="Balloon Text"/>
    <w:basedOn w:val="Normal"/>
    <w:link w:val="BalloonTextChar"/>
    <w:uiPriority w:val="99"/>
    <w:semiHidden/>
    <w:unhideWhenUsed/>
    <w:rsid w:val="00113ED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EDB"/>
    <w:rPr>
      <w:rFonts w:ascii="Tahoma" w:hAnsi="Tahoma" w:cs="Tahoma"/>
      <w:sz w:val="16"/>
      <w:szCs w:val="16"/>
    </w:rPr>
  </w:style>
  <w:style w:type="character" w:styleId="Hyperlink">
    <w:name w:val="Hyperlink"/>
    <w:basedOn w:val="DefaultParagraphFont"/>
    <w:uiPriority w:val="99"/>
    <w:unhideWhenUsed/>
    <w:rsid w:val="00E95262"/>
    <w:rPr>
      <w:color w:val="0000FF" w:themeColor="hyperlink"/>
      <w:u w:val="single"/>
    </w:rPr>
  </w:style>
  <w:style w:type="character" w:styleId="CommentReference">
    <w:name w:val="annotation reference"/>
    <w:basedOn w:val="DefaultParagraphFont"/>
    <w:semiHidden/>
    <w:unhideWhenUsed/>
    <w:rsid w:val="00127E75"/>
    <w:rPr>
      <w:sz w:val="16"/>
      <w:szCs w:val="16"/>
    </w:rPr>
  </w:style>
  <w:style w:type="paragraph" w:styleId="CommentText">
    <w:name w:val="annotation text"/>
    <w:basedOn w:val="Normal"/>
    <w:link w:val="CommentTextChar"/>
    <w:uiPriority w:val="99"/>
    <w:unhideWhenUsed/>
    <w:rsid w:val="00127E75"/>
    <w:pPr>
      <w:spacing w:line="240" w:lineRule="auto"/>
    </w:pPr>
    <w:rPr>
      <w:sz w:val="20"/>
      <w:szCs w:val="20"/>
    </w:rPr>
  </w:style>
  <w:style w:type="character" w:customStyle="1" w:styleId="CommentTextChar">
    <w:name w:val="Comment Text Char"/>
    <w:basedOn w:val="DefaultParagraphFont"/>
    <w:link w:val="CommentText"/>
    <w:uiPriority w:val="99"/>
    <w:rsid w:val="00127E75"/>
    <w:rPr>
      <w:sz w:val="20"/>
      <w:szCs w:val="20"/>
    </w:rPr>
  </w:style>
  <w:style w:type="paragraph" w:styleId="CommentSubject">
    <w:name w:val="annotation subject"/>
    <w:basedOn w:val="CommentText"/>
    <w:next w:val="CommentText"/>
    <w:link w:val="CommentSubjectChar"/>
    <w:uiPriority w:val="99"/>
    <w:semiHidden/>
    <w:unhideWhenUsed/>
    <w:rsid w:val="00127E75"/>
    <w:rPr>
      <w:b/>
      <w:bCs/>
    </w:rPr>
  </w:style>
  <w:style w:type="character" w:customStyle="1" w:styleId="CommentSubjectChar">
    <w:name w:val="Comment Subject Char"/>
    <w:basedOn w:val="CommentTextChar"/>
    <w:link w:val="CommentSubject"/>
    <w:uiPriority w:val="99"/>
    <w:semiHidden/>
    <w:rsid w:val="00127E75"/>
    <w:rPr>
      <w:b/>
      <w:bCs/>
      <w:sz w:val="20"/>
      <w:szCs w:val="20"/>
    </w:rPr>
  </w:style>
  <w:style w:type="paragraph" w:styleId="NormalWeb">
    <w:name w:val="Normal (Web)"/>
    <w:basedOn w:val="Normal"/>
    <w:uiPriority w:val="99"/>
    <w:semiHidden/>
    <w:unhideWhenUsed/>
    <w:rsid w:val="00FF2845"/>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210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22108"/>
  </w:style>
  <w:style w:type="paragraph" w:styleId="FootnoteText">
    <w:name w:val="footnote text"/>
    <w:basedOn w:val="Normal"/>
    <w:link w:val="FootnoteTextChar"/>
    <w:uiPriority w:val="99"/>
    <w:semiHidden/>
    <w:unhideWhenUsed/>
    <w:rsid w:val="004B3B8B"/>
    <w:pPr>
      <w:spacing w:before="0" w:after="0" w:line="240" w:lineRule="auto"/>
    </w:pPr>
    <w:rPr>
      <w:rFonts w:ascii="Arial Narrow" w:hAnsi="Arial Narrow"/>
      <w:sz w:val="20"/>
      <w:szCs w:val="20"/>
    </w:rPr>
  </w:style>
  <w:style w:type="character" w:customStyle="1" w:styleId="FootnoteTextChar">
    <w:name w:val="Footnote Text Char"/>
    <w:basedOn w:val="DefaultParagraphFont"/>
    <w:link w:val="FootnoteText"/>
    <w:uiPriority w:val="99"/>
    <w:semiHidden/>
    <w:rsid w:val="004B3B8B"/>
    <w:rPr>
      <w:rFonts w:ascii="Arial Narrow" w:hAnsi="Arial Narrow"/>
      <w:sz w:val="20"/>
      <w:szCs w:val="20"/>
    </w:rPr>
  </w:style>
  <w:style w:type="paragraph" w:styleId="Revision">
    <w:name w:val="Revision"/>
    <w:hidden/>
    <w:uiPriority w:val="99"/>
    <w:semiHidden/>
    <w:rsid w:val="00057592"/>
    <w:pPr>
      <w:spacing w:after="0" w:line="240" w:lineRule="auto"/>
    </w:pPr>
  </w:style>
  <w:style w:type="character" w:customStyle="1" w:styleId="Heading3Char">
    <w:name w:val="Heading 3 Char"/>
    <w:basedOn w:val="DefaultParagraphFont"/>
    <w:link w:val="Heading3"/>
    <w:uiPriority w:val="9"/>
    <w:rsid w:val="004B3B8B"/>
    <w:rPr>
      <w:rFonts w:ascii="Arial Narrow" w:eastAsiaTheme="majorEastAsia" w:hAnsi="Arial Narrow" w:cstheme="minorHAnsi"/>
      <w:b/>
      <w:bCs/>
      <w:noProof/>
      <w:color w:val="006F42"/>
      <w:sz w:val="24"/>
      <w:szCs w:val="26"/>
    </w:rPr>
  </w:style>
  <w:style w:type="paragraph" w:customStyle="1" w:styleId="Logo">
    <w:name w:val="Logo"/>
    <w:qFormat/>
    <w:rsid w:val="00B725C0"/>
    <w:pPr>
      <w:spacing w:line="240" w:lineRule="auto"/>
      <w:ind w:left="86"/>
    </w:pPr>
    <w:rPr>
      <w:rFonts w:cstheme="minorHAnsi"/>
      <w:bCs/>
      <w:szCs w:val="20"/>
    </w:rPr>
  </w:style>
  <w:style w:type="paragraph" w:customStyle="1" w:styleId="Background">
    <w:name w:val="Background"/>
    <w:qFormat/>
    <w:rsid w:val="004B3B8B"/>
    <w:pPr>
      <w:spacing w:before="360"/>
      <w:jc w:val="center"/>
    </w:pPr>
    <w:rPr>
      <w:rFonts w:ascii="Arial Narrow" w:hAnsi="Arial Narrow" w:cstheme="minorHAnsi"/>
      <w:sz w:val="18"/>
    </w:rPr>
  </w:style>
  <w:style w:type="paragraph" w:customStyle="1" w:styleId="BodyTextPostHeading">
    <w:name w:val="Body Text Post Heading"/>
    <w:basedOn w:val="BodyText"/>
    <w:next w:val="BodyText"/>
    <w:qFormat/>
    <w:rsid w:val="00CB4C5B"/>
    <w:pPr>
      <w:spacing w:before="0" w:after="240" w:line="240" w:lineRule="auto"/>
    </w:pPr>
    <w:rPr>
      <w:rFonts w:eastAsia="Helvetica,Times New Roman" w:cs="Times New Roman"/>
      <w:sz w:val="24"/>
      <w:szCs w:val="24"/>
    </w:rPr>
  </w:style>
  <w:style w:type="paragraph" w:styleId="BodyText">
    <w:name w:val="Body Text"/>
    <w:basedOn w:val="Normal"/>
    <w:link w:val="BodyTextChar"/>
    <w:uiPriority w:val="99"/>
    <w:semiHidden/>
    <w:unhideWhenUsed/>
    <w:rsid w:val="00CB4C5B"/>
  </w:style>
  <w:style w:type="character" w:customStyle="1" w:styleId="BodyTextChar">
    <w:name w:val="Body Text Char"/>
    <w:basedOn w:val="DefaultParagraphFont"/>
    <w:link w:val="BodyText"/>
    <w:uiPriority w:val="99"/>
    <w:semiHidden/>
    <w:rsid w:val="00CB4C5B"/>
  </w:style>
  <w:style w:type="character" w:styleId="UnresolvedMention">
    <w:name w:val="Unresolved Mention"/>
    <w:basedOn w:val="DefaultParagraphFont"/>
    <w:uiPriority w:val="99"/>
    <w:semiHidden/>
    <w:unhideWhenUsed/>
    <w:rsid w:val="00E50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7661">
      <w:bodyDiv w:val="1"/>
      <w:marLeft w:val="0"/>
      <w:marRight w:val="0"/>
      <w:marTop w:val="0"/>
      <w:marBottom w:val="0"/>
      <w:divBdr>
        <w:top w:val="none" w:sz="0" w:space="0" w:color="auto"/>
        <w:left w:val="none" w:sz="0" w:space="0" w:color="auto"/>
        <w:bottom w:val="none" w:sz="0" w:space="0" w:color="auto"/>
        <w:right w:val="none" w:sz="0" w:space="0" w:color="auto"/>
      </w:divBdr>
      <w:divsChild>
        <w:div w:id="1550651733">
          <w:marLeft w:val="0"/>
          <w:marRight w:val="0"/>
          <w:marTop w:val="0"/>
          <w:marBottom w:val="0"/>
          <w:divBdr>
            <w:top w:val="none" w:sz="0" w:space="0" w:color="auto"/>
            <w:left w:val="none" w:sz="0" w:space="0" w:color="auto"/>
            <w:bottom w:val="none" w:sz="0" w:space="0" w:color="auto"/>
            <w:right w:val="none" w:sz="0" w:space="0" w:color="auto"/>
          </w:divBdr>
          <w:divsChild>
            <w:div w:id="535392773">
              <w:marLeft w:val="0"/>
              <w:marRight w:val="0"/>
              <w:marTop w:val="0"/>
              <w:marBottom w:val="0"/>
              <w:divBdr>
                <w:top w:val="none" w:sz="0" w:space="0" w:color="auto"/>
                <w:left w:val="none" w:sz="0" w:space="0" w:color="auto"/>
                <w:bottom w:val="none" w:sz="0" w:space="0" w:color="auto"/>
                <w:right w:val="none" w:sz="0" w:space="0" w:color="auto"/>
              </w:divBdr>
              <w:divsChild>
                <w:div w:id="11034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859206">
      <w:bodyDiv w:val="1"/>
      <w:marLeft w:val="0"/>
      <w:marRight w:val="0"/>
      <w:marTop w:val="0"/>
      <w:marBottom w:val="0"/>
      <w:divBdr>
        <w:top w:val="none" w:sz="0" w:space="0" w:color="auto"/>
        <w:left w:val="none" w:sz="0" w:space="0" w:color="auto"/>
        <w:bottom w:val="none" w:sz="0" w:space="0" w:color="auto"/>
        <w:right w:val="none" w:sz="0" w:space="0" w:color="auto"/>
      </w:divBdr>
    </w:div>
    <w:div w:id="214319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msktc.org/t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C1ACE9C-5EA2-4C94-BE5C-024F62BF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929</Words>
  <Characters>4874</Characters>
  <Application>Microsoft Office Word</Application>
  <DocSecurity>0</DocSecurity>
  <Lines>95</Lines>
  <Paragraphs>58</Paragraphs>
  <ScaleCrop>false</ScaleCrop>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Rasmussen, Jeremy</dc:creator>
  <cp:keywords/>
  <cp:lastModifiedBy>Rasmussen, Jeremy</cp:lastModifiedBy>
  <cp:revision>38</cp:revision>
  <dcterms:created xsi:type="dcterms:W3CDTF">2026-06-10T17:31:00Z</dcterms:created>
  <dcterms:modified xsi:type="dcterms:W3CDTF">2026-06-12T15:49:00Z</dcterms:modified>
</cp:coreProperties>
</file>