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B5C" w14:textId="46400DD4" w:rsidR="00615CAD" w:rsidRPr="00615CAD" w:rsidRDefault="001D2DE7" w:rsidP="00615CAD">
      <w:pPr>
        <w:pStyle w:val="Logo"/>
      </w:pPr>
      <w:r>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8">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2DEFEBB8" w:rsidR="00615CAD" w:rsidRPr="00B725C0" w:rsidRDefault="00B725C0" w:rsidP="001D2DE7">
      <w:pPr>
        <w:pStyle w:val="Heading1"/>
        <w:ind w:left="1440"/>
      </w:pPr>
      <w:r>
        <w:br/>
        <w:t xml:space="preserve">Quick Review of </w:t>
      </w:r>
      <w:r>
        <w:br/>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9"/>
          <w:footerReference w:type="default" r:id="rId10"/>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0FC64788" w14:textId="2D8C1E87" w:rsidR="00254C38" w:rsidRDefault="00D0785A" w:rsidP="00D0785A">
      <w:pPr>
        <w:pStyle w:val="Heading3"/>
        <w:spacing w:before="360"/>
        <w:jc w:val="center"/>
        <w:rPr>
          <w:rFonts w:ascii="Arial" w:hAnsi="Arial"/>
          <w:color w:val="CA602C"/>
          <w:sz w:val="28"/>
          <w:szCs w:val="32"/>
        </w:rPr>
      </w:pPr>
      <w:r>
        <w:rPr>
          <w:rFonts w:ascii="Arial" w:hAnsi="Arial"/>
          <w:color w:val="CA602C"/>
          <w:sz w:val="28"/>
          <w:szCs w:val="32"/>
        </w:rPr>
        <w:t>Factors Associated With Cardiovascular Mortality After Complicated Mild to Severe Traumatic Brain Injury (TBI): A TBI Model Systems Study</w:t>
      </w:r>
    </w:p>
    <w:p w14:paraId="52E59DE8" w14:textId="44B2EC78" w:rsidR="00615CAD" w:rsidRPr="00254C38" w:rsidRDefault="00615CAD" w:rsidP="00504A6B">
      <w:pPr>
        <w:pStyle w:val="Heading3"/>
        <w:spacing w:before="120" w:line="360" w:lineRule="auto"/>
        <w:ind w:left="0"/>
        <w:rPr>
          <w:rFonts w:ascii="Arial" w:hAnsi="Arial"/>
          <w:color w:val="CA602C"/>
          <w:sz w:val="28"/>
          <w:szCs w:val="28"/>
        </w:rPr>
      </w:pPr>
      <w:r>
        <w:t>What is the study about?</w:t>
      </w:r>
    </w:p>
    <w:p w14:paraId="6844887A" w14:textId="5131ECA9" w:rsidR="00CF0C01" w:rsidRDefault="00CF0C01" w:rsidP="009E2238">
      <w:pPr>
        <w:pStyle w:val="Background"/>
        <w:spacing w:before="0" w:after="0" w:line="360" w:lineRule="auto"/>
        <w:jc w:val="left"/>
      </w:pPr>
      <w:r w:rsidRPr="00CF0C01">
        <w:t xml:space="preserve">Heart disease is the leading cause of death in the United States, and people who have experienced a traumatic brain injury (TBI) face a higher risk of </w:t>
      </w:r>
      <w:r w:rsidR="00BF2AB3">
        <w:t>cardiovascular disease (</w:t>
      </w:r>
      <w:r w:rsidRPr="00CF0C01">
        <w:t>heart and blood vessel problems</w:t>
      </w:r>
      <w:r w:rsidR="00BF2AB3">
        <w:t>)</w:t>
      </w:r>
      <w:r w:rsidRPr="00CF0C01">
        <w:t xml:space="preserve">. However, little is known about which </w:t>
      </w:r>
      <w:r w:rsidR="00BE79F1">
        <w:t xml:space="preserve">individuals with </w:t>
      </w:r>
      <w:r w:rsidRPr="00CF0C01">
        <w:t xml:space="preserve">TBI are most at risk of dying from cardiovascular disease. This study examined a large group of individuals with TBI to identify factors—such as age, sex, employment, and insurance status—associated with higher or lower </w:t>
      </w:r>
      <w:r w:rsidR="00BF2AB3">
        <w:t xml:space="preserve">risk of </w:t>
      </w:r>
      <w:r w:rsidRPr="00CF0C01">
        <w:t xml:space="preserve">cardiovascular </w:t>
      </w:r>
      <w:r w:rsidR="00BF2AB3">
        <w:t>death</w:t>
      </w:r>
      <w:r w:rsidRPr="00CF0C01">
        <w:t>.</w:t>
      </w:r>
    </w:p>
    <w:p w14:paraId="10000002" w14:textId="77777777" w:rsidR="00615CAD" w:rsidRDefault="00615CAD" w:rsidP="00504A6B">
      <w:pPr>
        <w:pStyle w:val="Heading3"/>
        <w:spacing w:before="120" w:line="360" w:lineRule="auto"/>
        <w:ind w:left="0"/>
      </w:pPr>
      <w:r>
        <w:t>What did the study find?</w:t>
      </w:r>
    </w:p>
    <w:p w14:paraId="10000003" w14:textId="0350FA9F" w:rsidR="00615CAD" w:rsidRDefault="00615CAD" w:rsidP="009E2238">
      <w:pPr>
        <w:pStyle w:val="Background"/>
        <w:spacing w:before="0" w:after="0" w:line="360" w:lineRule="auto"/>
        <w:jc w:val="left"/>
      </w:pPr>
      <w:r>
        <w:t xml:space="preserve">Out of 15,370 people studied, 2,770 (about 18%) died during the study period. Of those deaths, more than 1 in 5 (about 21.5%) were caused by heart or blood vessel disease. The study found that certain factors made it more or less likely that someone would die from a cardiovascular </w:t>
      </w:r>
      <w:proofErr w:type="gramStart"/>
      <w:r w:rsidR="00BF2AB3">
        <w:t>reason</w:t>
      </w:r>
      <w:proofErr w:type="gramEnd"/>
      <w:r>
        <w:t>.</w:t>
      </w:r>
    </w:p>
    <w:p w14:paraId="10000004" w14:textId="77777777" w:rsidR="00615CAD" w:rsidRDefault="00615CAD" w:rsidP="00504A6B">
      <w:pPr>
        <w:pStyle w:val="Background"/>
        <w:spacing w:before="120" w:after="0" w:line="360" w:lineRule="auto"/>
        <w:jc w:val="left"/>
      </w:pPr>
      <w:r>
        <w:rPr>
          <w:b/>
        </w:rPr>
        <w:t>Factors linked to a HIGHER risk of cardiovascular death:</w:t>
      </w:r>
    </w:p>
    <w:p w14:paraId="10000005" w14:textId="77777777" w:rsidR="00615CAD" w:rsidRDefault="00615CAD" w:rsidP="009E2238">
      <w:pPr>
        <w:pStyle w:val="Background"/>
        <w:spacing w:before="0" w:after="0" w:line="360" w:lineRule="auto"/>
        <w:jc w:val="left"/>
      </w:pPr>
      <w:r>
        <w:t xml:space="preserve">   • Older age at the time of injury</w:t>
      </w:r>
    </w:p>
    <w:p w14:paraId="10000006" w14:textId="77777777" w:rsidR="00615CAD" w:rsidRDefault="00615CAD" w:rsidP="009E2238">
      <w:pPr>
        <w:pStyle w:val="Background"/>
        <w:spacing w:before="0" w:after="0" w:line="360" w:lineRule="auto"/>
        <w:jc w:val="left"/>
      </w:pPr>
      <w:r>
        <w:t xml:space="preserve">   • Being male</w:t>
      </w:r>
    </w:p>
    <w:p w14:paraId="10000007" w14:textId="77777777" w:rsidR="00615CAD" w:rsidRDefault="00615CAD" w:rsidP="009E2238">
      <w:pPr>
        <w:pStyle w:val="Background"/>
        <w:spacing w:before="0" w:after="0" w:line="360" w:lineRule="auto"/>
        <w:jc w:val="left"/>
      </w:pPr>
      <w:r>
        <w:t xml:space="preserve">   • Being divorced at the time of injury</w:t>
      </w:r>
    </w:p>
    <w:p w14:paraId="10000008" w14:textId="35FAF834" w:rsidR="00615CAD" w:rsidRDefault="00615CAD" w:rsidP="009E2238">
      <w:pPr>
        <w:pStyle w:val="Background"/>
        <w:spacing w:before="0" w:after="0" w:line="360" w:lineRule="auto"/>
        <w:jc w:val="left"/>
      </w:pPr>
      <w:r>
        <w:t xml:space="preserve">   • Having more difficulty with physical tasks (like moving, dressing, or bathing) when leaving the</w:t>
      </w:r>
      <w:r w:rsidR="00CF69D1">
        <w:t xml:space="preserve"> rehabilitation</w:t>
      </w:r>
      <w:r>
        <w:t xml:space="preserve"> hospital</w:t>
      </w:r>
    </w:p>
    <w:p w14:paraId="10000009" w14:textId="77777777" w:rsidR="00615CAD" w:rsidRDefault="00615CAD" w:rsidP="00504A6B">
      <w:pPr>
        <w:pStyle w:val="Background"/>
        <w:spacing w:before="120" w:after="0" w:line="360" w:lineRule="auto"/>
        <w:jc w:val="left"/>
      </w:pPr>
      <w:r>
        <w:rPr>
          <w:b/>
        </w:rPr>
        <w:t>Factors linked to a LOWER risk of cardiovascular death:</w:t>
      </w:r>
    </w:p>
    <w:p w14:paraId="1000000A" w14:textId="77777777" w:rsidR="00615CAD" w:rsidRDefault="00615CAD" w:rsidP="009E2238">
      <w:pPr>
        <w:pStyle w:val="Background"/>
        <w:spacing w:before="0" w:after="0" w:line="360" w:lineRule="auto"/>
        <w:jc w:val="left"/>
      </w:pPr>
      <w:r>
        <w:t xml:space="preserve">   • Being employed (working) at the time of injury or at one year after injury</w:t>
      </w:r>
    </w:p>
    <w:p w14:paraId="1000000B" w14:textId="7D467CFA" w:rsidR="00615CAD" w:rsidRDefault="00615CAD" w:rsidP="009E2238">
      <w:pPr>
        <w:pStyle w:val="Background"/>
        <w:spacing w:before="0" w:after="0" w:line="360" w:lineRule="auto"/>
        <w:jc w:val="left"/>
      </w:pPr>
      <w:r>
        <w:t xml:space="preserve">   • Having private health insurance</w:t>
      </w:r>
      <w:r w:rsidR="00CF69D1">
        <w:t xml:space="preserve"> at time of injury</w:t>
      </w:r>
    </w:p>
    <w:p w14:paraId="1000000C" w14:textId="77777777" w:rsidR="00615CAD" w:rsidRDefault="00615CAD" w:rsidP="009E2238">
      <w:pPr>
        <w:pStyle w:val="Background"/>
        <w:spacing w:before="0" w:after="0" w:line="360" w:lineRule="auto"/>
        <w:jc w:val="left"/>
      </w:pPr>
      <w:r>
        <w:t xml:space="preserve">   • Identifying as Asian or Pacific Islander</w:t>
      </w:r>
    </w:p>
    <w:p w14:paraId="153F669C" w14:textId="6365CB00" w:rsidR="00CF0C01" w:rsidRDefault="00615CAD" w:rsidP="00CF0C01">
      <w:pPr>
        <w:pStyle w:val="Background"/>
        <w:spacing w:before="0" w:after="0" w:line="360" w:lineRule="auto"/>
        <w:jc w:val="left"/>
      </w:pPr>
      <w:r>
        <w:t xml:space="preserve">   • Having a longer period of post-traumatic amnesia (am-NEE-</w:t>
      </w:r>
      <w:proofErr w:type="spellStart"/>
      <w:r>
        <w:t>zhuh</w:t>
      </w:r>
      <w:proofErr w:type="spellEnd"/>
      <w:r>
        <w:t xml:space="preserve">) — </w:t>
      </w:r>
      <w:r w:rsidR="009E2238">
        <w:t>a period after injury when the person is</w:t>
      </w:r>
      <w:r>
        <w:t xml:space="preserve"> confused or unable to form new memories.</w:t>
      </w:r>
      <w:r w:rsidR="00CF0C01">
        <w:br/>
        <w:t>This is a measure of how severe a brain injury is. A longer period of post-traumatic amnesia indicates a more severe brain injury.</w:t>
      </w:r>
    </w:p>
    <w:p w14:paraId="1000000E" w14:textId="21598A0B" w:rsidR="00615CAD" w:rsidRDefault="00615CAD" w:rsidP="009E2238">
      <w:pPr>
        <w:pStyle w:val="Background"/>
        <w:spacing w:before="0" w:after="0" w:line="360" w:lineRule="auto"/>
        <w:jc w:val="left"/>
      </w:pPr>
      <w:r>
        <w:t xml:space="preserve">   • Living in the Western United States </w:t>
      </w:r>
    </w:p>
    <w:p w14:paraId="1000000F" w14:textId="084C079C" w:rsidR="00615CAD" w:rsidRDefault="00615CAD" w:rsidP="009E2238">
      <w:pPr>
        <w:pStyle w:val="Background"/>
        <w:spacing w:before="0" w:after="0" w:line="360" w:lineRule="auto"/>
        <w:jc w:val="left"/>
      </w:pPr>
      <w:r>
        <w:t xml:space="preserve">Importantly, alcohol use, drug use, and education level were not significantly linked to cardiovascular death in this study. </w:t>
      </w:r>
    </w:p>
    <w:p w14:paraId="10000010" w14:textId="77777777" w:rsidR="00615CAD" w:rsidRDefault="00615CAD" w:rsidP="00504A6B">
      <w:pPr>
        <w:pStyle w:val="Heading3"/>
        <w:spacing w:before="120" w:line="360" w:lineRule="auto"/>
        <w:ind w:left="0"/>
      </w:pPr>
      <w:r>
        <w:t>Who participated in the study?</w:t>
      </w:r>
    </w:p>
    <w:p w14:paraId="10000011" w14:textId="03118CC9" w:rsidR="00615CAD" w:rsidRDefault="00615CAD" w:rsidP="009E2238">
      <w:pPr>
        <w:pStyle w:val="Background"/>
        <w:spacing w:before="0" w:after="0" w:line="360" w:lineRule="auto"/>
        <w:jc w:val="left"/>
      </w:pPr>
      <w:r>
        <w:t xml:space="preserve">The study included 15,370 people who had been </w:t>
      </w:r>
      <w:r w:rsidR="00C03995">
        <w:t>admitted to inpatient rehabilitation after</w:t>
      </w:r>
      <w:r>
        <w:t xml:space="preserve"> TBI</w:t>
      </w:r>
      <w:r w:rsidR="009E2238">
        <w:t xml:space="preserve"> and were</w:t>
      </w:r>
      <w:r>
        <w:t xml:space="preserve"> at least 16 years old. The average age at injury was 41 years. Most participants were male (73.5%) and identified as White (66.9%). About 74.5% had graduated from high school. Data were collected from 1987 through February 2020, and the cutoff of February 2020 was chosen to avoid the effects of the COVID-19 pandemic on the results.</w:t>
      </w:r>
    </w:p>
    <w:p w14:paraId="10000012" w14:textId="77777777" w:rsidR="00615CAD" w:rsidRDefault="00615CAD" w:rsidP="00504A6B">
      <w:pPr>
        <w:pStyle w:val="Heading3"/>
        <w:spacing w:before="120" w:line="360" w:lineRule="auto"/>
        <w:ind w:left="0"/>
      </w:pPr>
      <w:r>
        <w:t>How was the study conducted?</w:t>
      </w:r>
    </w:p>
    <w:p w14:paraId="0B2769A0" w14:textId="076A465D" w:rsidR="00CF0C01" w:rsidRDefault="00CF0C01" w:rsidP="009E2238">
      <w:pPr>
        <w:pStyle w:val="Background"/>
        <w:spacing w:before="0" w:after="0" w:line="360" w:lineRule="auto"/>
        <w:jc w:val="left"/>
      </w:pPr>
      <w:r w:rsidRPr="00CF0C01">
        <w:t>Researchers analyzed data from the TBI Model Systems (TBIMS) national database, which includes individuals hospitalized and admitted to inpatient rehabilitation after TBI across the United States. Participant information—such as demographics, employment, insurance, and functional ability—was collected during hospitalization and at follow</w:t>
      </w:r>
      <w:r w:rsidRPr="00CF0C01">
        <w:rPr>
          <w:rFonts w:ascii="Cambria Math" w:hAnsi="Cambria Math" w:cs="Cambria Math"/>
        </w:rPr>
        <w:t>‑</w:t>
      </w:r>
      <w:r w:rsidRPr="00CF0C01">
        <w:t>ups at 1, 2, 5, and every 5 years thereafter. Causes of death were obtained from official death certificates. A competing risk statistical model was used to identify factors associated with cardiovascular death while accounting for deaths from other causes.</w:t>
      </w:r>
    </w:p>
    <w:p w14:paraId="73A3FC8A" w14:textId="77777777" w:rsidR="00CF0C01" w:rsidRDefault="00CF0C01" w:rsidP="009E2238">
      <w:pPr>
        <w:pStyle w:val="Background"/>
        <w:spacing w:before="0" w:after="0" w:line="360" w:lineRule="auto"/>
        <w:jc w:val="left"/>
      </w:pPr>
    </w:p>
    <w:p w14:paraId="3561A47A" w14:textId="4AA6B653" w:rsidR="00CF0C01" w:rsidRDefault="00615CAD" w:rsidP="00504A6B">
      <w:pPr>
        <w:pStyle w:val="Heading3"/>
        <w:spacing w:before="0" w:line="360" w:lineRule="auto"/>
        <w:ind w:left="0"/>
      </w:pPr>
      <w:r>
        <w:lastRenderedPageBreak/>
        <w:t>How can people use the results?</w:t>
      </w:r>
    </w:p>
    <w:p w14:paraId="1704E5D5" w14:textId="006C468F" w:rsidR="00CF0C01" w:rsidRPr="00504A6B" w:rsidRDefault="00BE79F1" w:rsidP="00504A6B">
      <w:pPr>
        <w:pStyle w:val="Background"/>
        <w:spacing w:before="0" w:after="0" w:line="360" w:lineRule="auto"/>
        <w:jc w:val="left"/>
        <w:rPr>
          <w:bCs/>
        </w:rPr>
      </w:pPr>
      <w:r>
        <w:rPr>
          <w:b/>
        </w:rPr>
        <w:t xml:space="preserve">Individuals with </w:t>
      </w:r>
      <w:r w:rsidR="00CF0C01" w:rsidRPr="00CF0C01">
        <w:rPr>
          <w:b/>
        </w:rPr>
        <w:t xml:space="preserve">TBI and families: </w:t>
      </w:r>
      <w:r w:rsidR="00CF0C01" w:rsidRPr="00504A6B">
        <w:rPr>
          <w:bCs/>
        </w:rPr>
        <w:t>TBI is a long</w:t>
      </w:r>
      <w:r w:rsidR="00CF0C01" w:rsidRPr="00504A6B">
        <w:rPr>
          <w:rFonts w:ascii="Cambria Math" w:hAnsi="Cambria Math" w:cs="Cambria Math"/>
          <w:bCs/>
        </w:rPr>
        <w:t>‑</w:t>
      </w:r>
      <w:r w:rsidR="00CF0C01" w:rsidRPr="00504A6B">
        <w:rPr>
          <w:bCs/>
        </w:rPr>
        <w:t xml:space="preserve">term condition, and heart health is an important part of recovery. </w:t>
      </w:r>
      <w:r>
        <w:rPr>
          <w:bCs/>
        </w:rPr>
        <w:t>Individuals with TBI</w:t>
      </w:r>
      <w:r w:rsidR="00CF0C01" w:rsidRPr="00504A6B">
        <w:rPr>
          <w:rFonts w:cs="Arial Narrow"/>
          <w:bCs/>
        </w:rPr>
        <w:t>—</w:t>
      </w:r>
      <w:r w:rsidR="00CF0C01" w:rsidRPr="00504A6B">
        <w:rPr>
          <w:bCs/>
        </w:rPr>
        <w:t>particularly older men, those who are divorced, or those with physical limitations</w:t>
      </w:r>
      <w:r w:rsidR="00CF0C01" w:rsidRPr="00504A6B">
        <w:rPr>
          <w:rFonts w:cs="Arial Narrow"/>
          <w:bCs/>
        </w:rPr>
        <w:t>—</w:t>
      </w:r>
      <w:r w:rsidR="00CF0C01" w:rsidRPr="00504A6B">
        <w:rPr>
          <w:bCs/>
        </w:rPr>
        <w:t>should discuss cardiovascular risk with their healthcare providers and focus on healthy habits such as staying active, eating well, avoiding smoking, and attending regular check</w:t>
      </w:r>
      <w:r w:rsidR="00CF0C01" w:rsidRPr="00504A6B">
        <w:rPr>
          <w:rFonts w:ascii="Cambria Math" w:hAnsi="Cambria Math" w:cs="Cambria Math"/>
          <w:bCs/>
        </w:rPr>
        <w:t>‑</w:t>
      </w:r>
      <w:r w:rsidR="00CF0C01" w:rsidRPr="00504A6B">
        <w:rPr>
          <w:bCs/>
        </w:rPr>
        <w:t>ups.</w:t>
      </w:r>
    </w:p>
    <w:p w14:paraId="31F1D3FA" w14:textId="77777777" w:rsidR="00CF0C01" w:rsidRPr="00504A6B" w:rsidRDefault="00CF0C01" w:rsidP="00504A6B">
      <w:pPr>
        <w:pStyle w:val="Background"/>
        <w:spacing w:before="120" w:after="0" w:line="360" w:lineRule="auto"/>
        <w:jc w:val="left"/>
        <w:rPr>
          <w:bCs/>
        </w:rPr>
      </w:pPr>
      <w:r w:rsidRPr="00CF0C01">
        <w:rPr>
          <w:b/>
        </w:rPr>
        <w:t xml:space="preserve">Clinicians: </w:t>
      </w:r>
      <w:r w:rsidRPr="00504A6B">
        <w:rPr>
          <w:bCs/>
        </w:rPr>
        <w:t>Findings emphasize the importance of early and ongoing cardiovascular risk screening in TBI patients, especially those who are older, male, divorced, or physically limited. Supporting return to work and access to quality health insurance may also improve long</w:t>
      </w:r>
      <w:r w:rsidRPr="00504A6B">
        <w:rPr>
          <w:rFonts w:ascii="Cambria Math" w:hAnsi="Cambria Math" w:cs="Cambria Math"/>
          <w:bCs/>
        </w:rPr>
        <w:t>‑</w:t>
      </w:r>
      <w:r w:rsidRPr="00504A6B">
        <w:rPr>
          <w:bCs/>
        </w:rPr>
        <w:t>term health outcomes.</w:t>
      </w:r>
    </w:p>
    <w:p w14:paraId="255DEF1F" w14:textId="77777777" w:rsidR="00CF0C01" w:rsidRPr="00504A6B" w:rsidRDefault="00CF0C01" w:rsidP="00504A6B">
      <w:pPr>
        <w:pStyle w:val="Background"/>
        <w:spacing w:before="120" w:after="0" w:line="360" w:lineRule="auto"/>
        <w:jc w:val="left"/>
        <w:rPr>
          <w:bCs/>
        </w:rPr>
      </w:pPr>
      <w:r w:rsidRPr="00CF0C01">
        <w:rPr>
          <w:b/>
        </w:rPr>
        <w:t xml:space="preserve">Researchers: </w:t>
      </w:r>
      <w:r w:rsidRPr="00504A6B">
        <w:rPr>
          <w:bCs/>
        </w:rPr>
        <w:t>Future studies should examine why certain groups have lower cardiovascular risk after TBI and evaluate whether targeted lifestyle interventions can reduce that risk. Longitudinal research tracking changes in employment, insurance, and physical function is needed.</w:t>
      </w:r>
    </w:p>
    <w:p w14:paraId="3EBAE293" w14:textId="55D03BF1" w:rsidR="00CF0C01" w:rsidRDefault="00CF0C01" w:rsidP="00504A6B">
      <w:pPr>
        <w:pStyle w:val="Background"/>
        <w:spacing w:before="120" w:after="0" w:line="360" w:lineRule="auto"/>
        <w:jc w:val="left"/>
        <w:rPr>
          <w:b/>
        </w:rPr>
      </w:pPr>
      <w:r w:rsidRPr="00CF0C01">
        <w:rPr>
          <w:b/>
        </w:rPr>
        <w:t xml:space="preserve">Policymakers: </w:t>
      </w:r>
      <w:r w:rsidRPr="00504A6B">
        <w:rPr>
          <w:bCs/>
        </w:rPr>
        <w:t>The association between private insurance and lower cardiovascular mortality highlights the importance of access to quality healthcare. Policies that improve insurance access and support return</w:t>
      </w:r>
      <w:r w:rsidRPr="00504A6B">
        <w:rPr>
          <w:rFonts w:ascii="Cambria Math" w:hAnsi="Cambria Math" w:cs="Cambria Math"/>
          <w:bCs/>
        </w:rPr>
        <w:t>‑</w:t>
      </w:r>
      <w:r w:rsidRPr="00504A6B">
        <w:rPr>
          <w:bCs/>
        </w:rPr>
        <w:t>to</w:t>
      </w:r>
      <w:r w:rsidRPr="00504A6B">
        <w:rPr>
          <w:rFonts w:ascii="Cambria Math" w:hAnsi="Cambria Math" w:cs="Cambria Math"/>
          <w:bCs/>
        </w:rPr>
        <w:t>‑</w:t>
      </w:r>
      <w:r w:rsidRPr="00504A6B">
        <w:rPr>
          <w:bCs/>
        </w:rPr>
        <w:t>work programs may reduce heart</w:t>
      </w:r>
      <w:r w:rsidRPr="00504A6B">
        <w:rPr>
          <w:rFonts w:ascii="Cambria Math" w:hAnsi="Cambria Math" w:cs="Cambria Math"/>
          <w:bCs/>
        </w:rPr>
        <w:t>‑</w:t>
      </w:r>
      <w:r w:rsidRPr="00504A6B">
        <w:rPr>
          <w:bCs/>
        </w:rPr>
        <w:t xml:space="preserve">related deaths among </w:t>
      </w:r>
      <w:r w:rsidR="00BE79F1">
        <w:rPr>
          <w:bCs/>
        </w:rPr>
        <w:t>individuals with TBI</w:t>
      </w:r>
      <w:r w:rsidRPr="00504A6B">
        <w:rPr>
          <w:bCs/>
        </w:rPr>
        <w:t>.</w:t>
      </w:r>
    </w:p>
    <w:p w14:paraId="10000019" w14:textId="77777777" w:rsidR="00615CAD" w:rsidRDefault="00615CAD" w:rsidP="00504A6B">
      <w:pPr>
        <w:pStyle w:val="Heading3"/>
        <w:spacing w:before="120" w:line="360" w:lineRule="auto"/>
        <w:ind w:left="0"/>
      </w:pPr>
      <w:r>
        <w:t>Reference</w:t>
      </w:r>
    </w:p>
    <w:p w14:paraId="1000001A" w14:textId="77777777" w:rsidR="00615CAD" w:rsidRDefault="00615CAD" w:rsidP="009E2238">
      <w:pPr>
        <w:pStyle w:val="Background"/>
        <w:spacing w:before="0" w:after="0" w:line="360" w:lineRule="auto"/>
        <w:jc w:val="left"/>
      </w:pPr>
      <w:r>
        <w:t xml:space="preserve">Pinto, S. M., Thakur, B., Kumar, R. G., Venkatesan, U. M., Hicks, A. J., Driver, S., Ding, K., Watanabe, T. K., Bell, K., Walker, W. C., Katta-Charles, S., Zafonte, R., Rabinowitz, A., &amp; Hammond, F. M. (2025). Factors associated with cardiovascular mortality after complicated mild to severe traumatic brain injury (TBI): A TBI Model Systems study. </w:t>
      </w:r>
      <w:r>
        <w:rPr>
          <w:i/>
        </w:rPr>
        <w:t>Journal of Head Trauma Rehabilitation</w:t>
      </w:r>
      <w:r>
        <w:t>. https://doi.org/10.1097/HTR.0000000000001087</w:t>
      </w:r>
    </w:p>
    <w:p w14:paraId="1000001B" w14:textId="77777777" w:rsidR="00615CAD" w:rsidRDefault="007072FC" w:rsidP="00504A6B">
      <w:pPr>
        <w:pStyle w:val="Heading3"/>
        <w:spacing w:before="120" w:line="360" w:lineRule="auto"/>
        <w:ind w:left="0"/>
      </w:pPr>
      <w:r>
        <w:t>Disclaimer</w:t>
      </w:r>
    </w:p>
    <w:p w14:paraId="6F52052D" w14:textId="430B8626" w:rsidR="006B120B" w:rsidRDefault="004C59F0" w:rsidP="009E2238">
      <w:pPr>
        <w:pStyle w:val="Background"/>
        <w:spacing w:before="0" w:after="0" w:line="360" w:lineRule="auto"/>
        <w:jc w:val="left"/>
        <w:rPr>
          <w:color w:val="000000" w:themeColor="text1"/>
        </w:rPr>
      </w:pPr>
      <w:r>
        <w:rPr>
          <w:color w:val="000000" w:themeColor="text1"/>
        </w:rPr>
        <w:t>The contents of this quick review were developed under a grant from the National Institute on Disability, Independent Living, and Rehabilitation Research (NIDILRR grant number 90DPKT0009). NIDILRR is a Center within the Administration for Community Living (ACL), Department of Health and Human Services (HHS). The contents of this quick review do not necessarily represent the policy of NIDILRR, ACL, HHS, and you should not assume endorsement by the Federal Government.</w:t>
      </w:r>
    </w:p>
    <w:p w14:paraId="42C9D377" w14:textId="77777777" w:rsidR="006B120B" w:rsidRPr="00085CC9" w:rsidRDefault="006B120B" w:rsidP="006B120B">
      <w:pPr>
        <w:autoSpaceDE w:val="0"/>
        <w:autoSpaceDN w:val="0"/>
        <w:adjustRightInd w:val="0"/>
        <w:spacing w:after="0" w:line="360" w:lineRule="auto"/>
        <w:rPr>
          <w:rFonts w:ascii="Arial Narrow" w:hAnsi="Arial Narrow" w:cs="Consolas"/>
          <w:color w:val="000000"/>
          <w:sz w:val="18"/>
          <w:szCs w:val="18"/>
        </w:rPr>
      </w:pPr>
      <w:r w:rsidRPr="00085CC9">
        <w:rPr>
          <w:rFonts w:ascii="Arial Narrow" w:hAnsi="Arial Narrow" w:cs="Consolas"/>
          <w:color w:val="000000"/>
          <w:sz w:val="18"/>
          <w:szCs w:val="18"/>
        </w:rPr>
        <w:t xml:space="preserve">The content of this Quick Review was generated </w:t>
      </w:r>
      <w:r w:rsidRPr="00066BDE">
        <w:rPr>
          <w:rFonts w:ascii="Arial Narrow" w:hAnsi="Arial Narrow" w:cs="Consolas"/>
          <w:color w:val="000000"/>
          <w:sz w:val="18"/>
          <w:szCs w:val="18"/>
        </w:rPr>
        <w:t>and edited</w:t>
      </w:r>
      <w:r>
        <w:rPr>
          <w:rFonts w:ascii="Arial Narrow" w:hAnsi="Arial Narrow" w:cs="Consolas"/>
          <w:color w:val="000000"/>
          <w:sz w:val="18"/>
          <w:szCs w:val="18"/>
        </w:rPr>
        <w:t xml:space="preserve"> </w:t>
      </w:r>
      <w:r w:rsidRPr="00085CC9">
        <w:rPr>
          <w:rFonts w:ascii="Arial Narrow" w:hAnsi="Arial Narrow" w:cs="Consolas"/>
          <w:color w:val="000000"/>
          <w:sz w:val="18"/>
          <w:szCs w:val="18"/>
        </w:rPr>
        <w:t>using Claude and Microsoft Co-Pilot and was carefully reviewed and edited by experts to ensure accuracy.</w:t>
      </w:r>
    </w:p>
    <w:p w14:paraId="0E2BD652" w14:textId="77777777" w:rsidR="006B120B" w:rsidRDefault="006B120B" w:rsidP="009E2238">
      <w:pPr>
        <w:pStyle w:val="Background"/>
        <w:spacing w:before="0" w:after="0" w:line="360" w:lineRule="auto"/>
        <w:jc w:val="left"/>
      </w:pPr>
    </w:p>
    <w:p w14:paraId="18917B42" w14:textId="77777777" w:rsidR="004C59F0" w:rsidRPr="004C59F0" w:rsidRDefault="004C59F0" w:rsidP="009E2238">
      <w:pPr>
        <w:spacing w:before="0" w:after="0" w:line="360" w:lineRule="auto"/>
      </w:pPr>
    </w:p>
    <w:p w14:paraId="46EA7D9A" w14:textId="77777777" w:rsidR="004C59F0" w:rsidRPr="004C59F0" w:rsidRDefault="004C59F0" w:rsidP="009E2238">
      <w:pPr>
        <w:spacing w:before="0" w:after="0" w:line="360" w:lineRule="auto"/>
      </w:pPr>
    </w:p>
    <w:p w14:paraId="5B46F4A4" w14:textId="77777777" w:rsidR="004C59F0" w:rsidRPr="004C59F0" w:rsidRDefault="004C59F0" w:rsidP="009E2238">
      <w:pPr>
        <w:spacing w:before="0" w:after="0" w:line="360" w:lineRule="auto"/>
      </w:pPr>
    </w:p>
    <w:p w14:paraId="68F2E363" w14:textId="77777777" w:rsidR="00615CAD" w:rsidRPr="004C59F0" w:rsidRDefault="00615CAD" w:rsidP="009E2238">
      <w:pPr>
        <w:spacing w:before="0" w:after="0" w:line="360" w:lineRule="auto"/>
      </w:pPr>
    </w:p>
    <w:sectPr w:rsidR="00615CAD" w:rsidRPr="004C59F0"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A636" w14:textId="77777777" w:rsidR="007011AB" w:rsidRDefault="007011AB">
      <w:pPr>
        <w:spacing w:before="0" w:after="0" w:line="240" w:lineRule="auto"/>
      </w:pPr>
      <w:r>
        <w:separator/>
      </w:r>
    </w:p>
  </w:endnote>
  <w:endnote w:type="continuationSeparator" w:id="0">
    <w:p w14:paraId="69A2807B" w14:textId="77777777" w:rsidR="007011AB" w:rsidRDefault="007011AB">
      <w:pPr>
        <w:spacing w:before="0" w:after="0" w:line="240" w:lineRule="auto"/>
      </w:pPr>
      <w:r>
        <w:continuationSeparator/>
      </w:r>
    </w:p>
  </w:endnote>
  <w:endnote w:type="continuationNotice" w:id="1">
    <w:p w14:paraId="05135989" w14:textId="77777777" w:rsidR="007011AB" w:rsidRDefault="007011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B542" w14:textId="77777777" w:rsidR="007011AB" w:rsidRPr="006C7FDE" w:rsidRDefault="007011AB" w:rsidP="006C7FDE">
      <w:pPr>
        <w:pStyle w:val="Footer"/>
      </w:pPr>
    </w:p>
  </w:footnote>
  <w:footnote w:type="continuationSeparator" w:id="0">
    <w:p w14:paraId="58A4A11E" w14:textId="77777777" w:rsidR="007011AB" w:rsidRPr="006C7FDE" w:rsidRDefault="007011AB" w:rsidP="006C7FDE">
      <w:pPr>
        <w:pStyle w:val="Footer"/>
      </w:pPr>
    </w:p>
  </w:footnote>
  <w:footnote w:type="continuationNotice" w:id="1">
    <w:p w14:paraId="48BF0D26" w14:textId="77777777" w:rsidR="007011AB" w:rsidRDefault="007011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19"/>
    <w:multiLevelType w:val="hybridMultilevel"/>
    <w:tmpl w:val="342E0F6A"/>
    <w:lvl w:ilvl="0" w:tplc="933610EA">
      <w:start w:val="1"/>
      <w:numFmt w:val="bullet"/>
      <w:lvlText w:val=""/>
      <w:lvlJc w:val="left"/>
      <w:pPr>
        <w:ind w:left="720" w:hanging="360"/>
      </w:pPr>
      <w:rPr>
        <w:rFonts w:ascii="Symbol" w:hAnsi="Symbol"/>
      </w:rPr>
    </w:lvl>
    <w:lvl w:ilvl="1" w:tplc="2BDAC74A">
      <w:start w:val="1"/>
      <w:numFmt w:val="bullet"/>
      <w:lvlText w:val=""/>
      <w:lvlJc w:val="left"/>
      <w:pPr>
        <w:ind w:left="720" w:hanging="360"/>
      </w:pPr>
      <w:rPr>
        <w:rFonts w:ascii="Symbol" w:hAnsi="Symbol"/>
      </w:rPr>
    </w:lvl>
    <w:lvl w:ilvl="2" w:tplc="01567FD0">
      <w:start w:val="1"/>
      <w:numFmt w:val="bullet"/>
      <w:lvlText w:val=""/>
      <w:lvlJc w:val="left"/>
      <w:pPr>
        <w:ind w:left="720" w:hanging="360"/>
      </w:pPr>
      <w:rPr>
        <w:rFonts w:ascii="Symbol" w:hAnsi="Symbol"/>
      </w:rPr>
    </w:lvl>
    <w:lvl w:ilvl="3" w:tplc="CFAE0404">
      <w:start w:val="1"/>
      <w:numFmt w:val="bullet"/>
      <w:lvlText w:val=""/>
      <w:lvlJc w:val="left"/>
      <w:pPr>
        <w:ind w:left="720" w:hanging="360"/>
      </w:pPr>
      <w:rPr>
        <w:rFonts w:ascii="Symbol" w:hAnsi="Symbol"/>
      </w:rPr>
    </w:lvl>
    <w:lvl w:ilvl="4" w:tplc="8E3038A2">
      <w:start w:val="1"/>
      <w:numFmt w:val="bullet"/>
      <w:lvlText w:val=""/>
      <w:lvlJc w:val="left"/>
      <w:pPr>
        <w:ind w:left="720" w:hanging="360"/>
      </w:pPr>
      <w:rPr>
        <w:rFonts w:ascii="Symbol" w:hAnsi="Symbol"/>
      </w:rPr>
    </w:lvl>
    <w:lvl w:ilvl="5" w:tplc="EFD0BE5A">
      <w:start w:val="1"/>
      <w:numFmt w:val="bullet"/>
      <w:lvlText w:val=""/>
      <w:lvlJc w:val="left"/>
      <w:pPr>
        <w:ind w:left="720" w:hanging="360"/>
      </w:pPr>
      <w:rPr>
        <w:rFonts w:ascii="Symbol" w:hAnsi="Symbol"/>
      </w:rPr>
    </w:lvl>
    <w:lvl w:ilvl="6" w:tplc="25A0B25E">
      <w:start w:val="1"/>
      <w:numFmt w:val="bullet"/>
      <w:lvlText w:val=""/>
      <w:lvlJc w:val="left"/>
      <w:pPr>
        <w:ind w:left="720" w:hanging="360"/>
      </w:pPr>
      <w:rPr>
        <w:rFonts w:ascii="Symbol" w:hAnsi="Symbol"/>
      </w:rPr>
    </w:lvl>
    <w:lvl w:ilvl="7" w:tplc="71F2DD0C">
      <w:start w:val="1"/>
      <w:numFmt w:val="bullet"/>
      <w:lvlText w:val=""/>
      <w:lvlJc w:val="left"/>
      <w:pPr>
        <w:ind w:left="720" w:hanging="360"/>
      </w:pPr>
      <w:rPr>
        <w:rFonts w:ascii="Symbol" w:hAnsi="Symbol"/>
      </w:rPr>
    </w:lvl>
    <w:lvl w:ilvl="8" w:tplc="AADE7102">
      <w:start w:val="1"/>
      <w:numFmt w:val="bullet"/>
      <w:lvlText w:val=""/>
      <w:lvlJc w:val="left"/>
      <w:pPr>
        <w:ind w:left="720" w:hanging="360"/>
      </w:pPr>
      <w:rPr>
        <w:rFonts w:ascii="Symbol" w:hAnsi="Symbol"/>
      </w:rPr>
    </w:lvl>
  </w:abstractNum>
  <w:abstractNum w:abstractNumId="1" w15:restartNumberingAfterBreak="0">
    <w:nsid w:val="224B55DF"/>
    <w:multiLevelType w:val="hybridMultilevel"/>
    <w:tmpl w:val="453C9E94"/>
    <w:lvl w:ilvl="0" w:tplc="1C043076">
      <w:start w:val="1"/>
      <w:numFmt w:val="bullet"/>
      <w:lvlText w:val=""/>
      <w:lvlJc w:val="left"/>
      <w:pPr>
        <w:ind w:left="720" w:hanging="360"/>
      </w:pPr>
      <w:rPr>
        <w:rFonts w:ascii="Symbol" w:hAnsi="Symbol"/>
      </w:rPr>
    </w:lvl>
    <w:lvl w:ilvl="1" w:tplc="6E6EF2D6">
      <w:start w:val="1"/>
      <w:numFmt w:val="bullet"/>
      <w:lvlText w:val=""/>
      <w:lvlJc w:val="left"/>
      <w:pPr>
        <w:ind w:left="720" w:hanging="360"/>
      </w:pPr>
      <w:rPr>
        <w:rFonts w:ascii="Symbol" w:hAnsi="Symbol"/>
      </w:rPr>
    </w:lvl>
    <w:lvl w:ilvl="2" w:tplc="9E2A24BA">
      <w:start w:val="1"/>
      <w:numFmt w:val="bullet"/>
      <w:lvlText w:val=""/>
      <w:lvlJc w:val="left"/>
      <w:pPr>
        <w:ind w:left="720" w:hanging="360"/>
      </w:pPr>
      <w:rPr>
        <w:rFonts w:ascii="Symbol" w:hAnsi="Symbol"/>
      </w:rPr>
    </w:lvl>
    <w:lvl w:ilvl="3" w:tplc="547205C8">
      <w:start w:val="1"/>
      <w:numFmt w:val="bullet"/>
      <w:lvlText w:val=""/>
      <w:lvlJc w:val="left"/>
      <w:pPr>
        <w:ind w:left="720" w:hanging="360"/>
      </w:pPr>
      <w:rPr>
        <w:rFonts w:ascii="Symbol" w:hAnsi="Symbol"/>
      </w:rPr>
    </w:lvl>
    <w:lvl w:ilvl="4" w:tplc="481494CA">
      <w:start w:val="1"/>
      <w:numFmt w:val="bullet"/>
      <w:lvlText w:val=""/>
      <w:lvlJc w:val="left"/>
      <w:pPr>
        <w:ind w:left="720" w:hanging="360"/>
      </w:pPr>
      <w:rPr>
        <w:rFonts w:ascii="Symbol" w:hAnsi="Symbol"/>
      </w:rPr>
    </w:lvl>
    <w:lvl w:ilvl="5" w:tplc="888CED36">
      <w:start w:val="1"/>
      <w:numFmt w:val="bullet"/>
      <w:lvlText w:val=""/>
      <w:lvlJc w:val="left"/>
      <w:pPr>
        <w:ind w:left="720" w:hanging="360"/>
      </w:pPr>
      <w:rPr>
        <w:rFonts w:ascii="Symbol" w:hAnsi="Symbol"/>
      </w:rPr>
    </w:lvl>
    <w:lvl w:ilvl="6" w:tplc="E9D8B880">
      <w:start w:val="1"/>
      <w:numFmt w:val="bullet"/>
      <w:lvlText w:val=""/>
      <w:lvlJc w:val="left"/>
      <w:pPr>
        <w:ind w:left="720" w:hanging="360"/>
      </w:pPr>
      <w:rPr>
        <w:rFonts w:ascii="Symbol" w:hAnsi="Symbol"/>
      </w:rPr>
    </w:lvl>
    <w:lvl w:ilvl="7" w:tplc="81D40312">
      <w:start w:val="1"/>
      <w:numFmt w:val="bullet"/>
      <w:lvlText w:val=""/>
      <w:lvlJc w:val="left"/>
      <w:pPr>
        <w:ind w:left="720" w:hanging="360"/>
      </w:pPr>
      <w:rPr>
        <w:rFonts w:ascii="Symbol" w:hAnsi="Symbol"/>
      </w:rPr>
    </w:lvl>
    <w:lvl w:ilvl="8" w:tplc="410245D0">
      <w:start w:val="1"/>
      <w:numFmt w:val="bullet"/>
      <w:lvlText w:val=""/>
      <w:lvlJc w:val="left"/>
      <w:pPr>
        <w:ind w:left="720" w:hanging="360"/>
      </w:pPr>
      <w:rPr>
        <w:rFonts w:ascii="Symbol" w:hAnsi="Symbol"/>
      </w:rPr>
    </w:lvl>
  </w:abstractNum>
  <w:abstractNum w:abstractNumId="2" w15:restartNumberingAfterBreak="0">
    <w:nsid w:val="282D0E4C"/>
    <w:multiLevelType w:val="hybridMultilevel"/>
    <w:tmpl w:val="6F1284CA"/>
    <w:lvl w:ilvl="0" w:tplc="DB5A8A12">
      <w:start w:val="1"/>
      <w:numFmt w:val="decimal"/>
      <w:lvlText w:val="%1."/>
      <w:lvlJc w:val="left"/>
      <w:pPr>
        <w:ind w:left="720" w:hanging="360"/>
      </w:pPr>
    </w:lvl>
    <w:lvl w:ilvl="1" w:tplc="5AC810E8">
      <w:start w:val="1"/>
      <w:numFmt w:val="decimal"/>
      <w:lvlText w:val="%2."/>
      <w:lvlJc w:val="left"/>
      <w:pPr>
        <w:ind w:left="720" w:hanging="360"/>
      </w:pPr>
    </w:lvl>
    <w:lvl w:ilvl="2" w:tplc="0570D77A">
      <w:start w:val="1"/>
      <w:numFmt w:val="decimal"/>
      <w:lvlText w:val="%3."/>
      <w:lvlJc w:val="left"/>
      <w:pPr>
        <w:ind w:left="720" w:hanging="360"/>
      </w:pPr>
    </w:lvl>
    <w:lvl w:ilvl="3" w:tplc="DDCA3CF6">
      <w:start w:val="1"/>
      <w:numFmt w:val="decimal"/>
      <w:lvlText w:val="%4."/>
      <w:lvlJc w:val="left"/>
      <w:pPr>
        <w:ind w:left="720" w:hanging="360"/>
      </w:pPr>
    </w:lvl>
    <w:lvl w:ilvl="4" w:tplc="1D6AE654">
      <w:start w:val="1"/>
      <w:numFmt w:val="decimal"/>
      <w:lvlText w:val="%5."/>
      <w:lvlJc w:val="left"/>
      <w:pPr>
        <w:ind w:left="720" w:hanging="360"/>
      </w:pPr>
    </w:lvl>
    <w:lvl w:ilvl="5" w:tplc="C6044146">
      <w:start w:val="1"/>
      <w:numFmt w:val="decimal"/>
      <w:lvlText w:val="%6."/>
      <w:lvlJc w:val="left"/>
      <w:pPr>
        <w:ind w:left="720" w:hanging="360"/>
      </w:pPr>
    </w:lvl>
    <w:lvl w:ilvl="6" w:tplc="94FE471C">
      <w:start w:val="1"/>
      <w:numFmt w:val="decimal"/>
      <w:lvlText w:val="%7."/>
      <w:lvlJc w:val="left"/>
      <w:pPr>
        <w:ind w:left="720" w:hanging="360"/>
      </w:pPr>
    </w:lvl>
    <w:lvl w:ilvl="7" w:tplc="7E0AB898">
      <w:start w:val="1"/>
      <w:numFmt w:val="decimal"/>
      <w:lvlText w:val="%8."/>
      <w:lvlJc w:val="left"/>
      <w:pPr>
        <w:ind w:left="720" w:hanging="360"/>
      </w:pPr>
    </w:lvl>
    <w:lvl w:ilvl="8" w:tplc="160ABF80">
      <w:start w:val="1"/>
      <w:numFmt w:val="decimal"/>
      <w:lvlText w:val="%9."/>
      <w:lvlJc w:val="left"/>
      <w:pPr>
        <w:ind w:left="720" w:hanging="360"/>
      </w:pPr>
    </w:lvl>
  </w:abstractNum>
  <w:abstractNum w:abstractNumId="3"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F2C15"/>
    <w:multiLevelType w:val="hybridMultilevel"/>
    <w:tmpl w:val="C9E4A496"/>
    <w:lvl w:ilvl="0" w:tplc="75F812A6">
      <w:start w:val="1"/>
      <w:numFmt w:val="decimal"/>
      <w:lvlText w:val="%1."/>
      <w:lvlJc w:val="left"/>
      <w:pPr>
        <w:ind w:left="720" w:hanging="360"/>
      </w:pPr>
    </w:lvl>
    <w:lvl w:ilvl="1" w:tplc="EA0A405E">
      <w:start w:val="1"/>
      <w:numFmt w:val="decimal"/>
      <w:lvlText w:val="%2."/>
      <w:lvlJc w:val="left"/>
      <w:pPr>
        <w:ind w:left="720" w:hanging="360"/>
      </w:pPr>
    </w:lvl>
    <w:lvl w:ilvl="2" w:tplc="B52A8652">
      <w:start w:val="1"/>
      <w:numFmt w:val="decimal"/>
      <w:lvlText w:val="%3."/>
      <w:lvlJc w:val="left"/>
      <w:pPr>
        <w:ind w:left="720" w:hanging="360"/>
      </w:pPr>
    </w:lvl>
    <w:lvl w:ilvl="3" w:tplc="7E2CE0B0">
      <w:start w:val="1"/>
      <w:numFmt w:val="decimal"/>
      <w:lvlText w:val="%4."/>
      <w:lvlJc w:val="left"/>
      <w:pPr>
        <w:ind w:left="720" w:hanging="360"/>
      </w:pPr>
    </w:lvl>
    <w:lvl w:ilvl="4" w:tplc="5AAAC8AA">
      <w:start w:val="1"/>
      <w:numFmt w:val="decimal"/>
      <w:lvlText w:val="%5."/>
      <w:lvlJc w:val="left"/>
      <w:pPr>
        <w:ind w:left="720" w:hanging="360"/>
      </w:pPr>
    </w:lvl>
    <w:lvl w:ilvl="5" w:tplc="A3187C92">
      <w:start w:val="1"/>
      <w:numFmt w:val="decimal"/>
      <w:lvlText w:val="%6."/>
      <w:lvlJc w:val="left"/>
      <w:pPr>
        <w:ind w:left="720" w:hanging="360"/>
      </w:pPr>
    </w:lvl>
    <w:lvl w:ilvl="6" w:tplc="819E158E">
      <w:start w:val="1"/>
      <w:numFmt w:val="decimal"/>
      <w:lvlText w:val="%7."/>
      <w:lvlJc w:val="left"/>
      <w:pPr>
        <w:ind w:left="720" w:hanging="360"/>
      </w:pPr>
    </w:lvl>
    <w:lvl w:ilvl="7" w:tplc="4DB819B2">
      <w:start w:val="1"/>
      <w:numFmt w:val="decimal"/>
      <w:lvlText w:val="%8."/>
      <w:lvlJc w:val="left"/>
      <w:pPr>
        <w:ind w:left="720" w:hanging="360"/>
      </w:pPr>
    </w:lvl>
    <w:lvl w:ilvl="8" w:tplc="0CA226BE">
      <w:start w:val="1"/>
      <w:numFmt w:val="decimal"/>
      <w:lvlText w:val="%9."/>
      <w:lvlJc w:val="left"/>
      <w:pPr>
        <w:ind w:left="720" w:hanging="360"/>
      </w:pPr>
    </w:lvl>
  </w:abstractNum>
  <w:abstractNum w:abstractNumId="5"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5E28"/>
    <w:multiLevelType w:val="hybridMultilevel"/>
    <w:tmpl w:val="02EA08A8"/>
    <w:lvl w:ilvl="0" w:tplc="987664D6">
      <w:start w:val="1"/>
      <w:numFmt w:val="decimal"/>
      <w:lvlText w:val="%1."/>
      <w:lvlJc w:val="left"/>
      <w:pPr>
        <w:ind w:left="720" w:hanging="360"/>
      </w:pPr>
    </w:lvl>
    <w:lvl w:ilvl="1" w:tplc="CCE4E374">
      <w:start w:val="1"/>
      <w:numFmt w:val="decimal"/>
      <w:lvlText w:val="%2."/>
      <w:lvlJc w:val="left"/>
      <w:pPr>
        <w:ind w:left="720" w:hanging="360"/>
      </w:pPr>
    </w:lvl>
    <w:lvl w:ilvl="2" w:tplc="5C9070DC">
      <w:start w:val="1"/>
      <w:numFmt w:val="decimal"/>
      <w:lvlText w:val="%3."/>
      <w:lvlJc w:val="left"/>
      <w:pPr>
        <w:ind w:left="720" w:hanging="360"/>
      </w:pPr>
    </w:lvl>
    <w:lvl w:ilvl="3" w:tplc="4754D6C0">
      <w:start w:val="1"/>
      <w:numFmt w:val="decimal"/>
      <w:lvlText w:val="%4."/>
      <w:lvlJc w:val="left"/>
      <w:pPr>
        <w:ind w:left="720" w:hanging="360"/>
      </w:pPr>
    </w:lvl>
    <w:lvl w:ilvl="4" w:tplc="FD1A9112">
      <w:start w:val="1"/>
      <w:numFmt w:val="decimal"/>
      <w:lvlText w:val="%5."/>
      <w:lvlJc w:val="left"/>
      <w:pPr>
        <w:ind w:left="720" w:hanging="360"/>
      </w:pPr>
    </w:lvl>
    <w:lvl w:ilvl="5" w:tplc="F26EEC74">
      <w:start w:val="1"/>
      <w:numFmt w:val="decimal"/>
      <w:lvlText w:val="%6."/>
      <w:lvlJc w:val="left"/>
      <w:pPr>
        <w:ind w:left="720" w:hanging="360"/>
      </w:pPr>
    </w:lvl>
    <w:lvl w:ilvl="6" w:tplc="D36EC358">
      <w:start w:val="1"/>
      <w:numFmt w:val="decimal"/>
      <w:lvlText w:val="%7."/>
      <w:lvlJc w:val="left"/>
      <w:pPr>
        <w:ind w:left="720" w:hanging="360"/>
      </w:pPr>
    </w:lvl>
    <w:lvl w:ilvl="7" w:tplc="8B34C62C">
      <w:start w:val="1"/>
      <w:numFmt w:val="decimal"/>
      <w:lvlText w:val="%8."/>
      <w:lvlJc w:val="left"/>
      <w:pPr>
        <w:ind w:left="720" w:hanging="360"/>
      </w:pPr>
    </w:lvl>
    <w:lvl w:ilvl="8" w:tplc="2D9E71A8">
      <w:start w:val="1"/>
      <w:numFmt w:val="decimal"/>
      <w:lvlText w:val="%9."/>
      <w:lvlJc w:val="left"/>
      <w:pPr>
        <w:ind w:left="720" w:hanging="360"/>
      </w:pPr>
    </w:lvl>
  </w:abstractNum>
  <w:abstractNum w:abstractNumId="7" w15:restartNumberingAfterBreak="0">
    <w:nsid w:val="625224F2"/>
    <w:multiLevelType w:val="hybridMultilevel"/>
    <w:tmpl w:val="1A708B6E"/>
    <w:lvl w:ilvl="0" w:tplc="8EF6D7FE">
      <w:start w:val="1"/>
      <w:numFmt w:val="decimal"/>
      <w:lvlText w:val="%1."/>
      <w:lvlJc w:val="left"/>
      <w:pPr>
        <w:ind w:left="720" w:hanging="360"/>
      </w:pPr>
    </w:lvl>
    <w:lvl w:ilvl="1" w:tplc="BDB210C8">
      <w:start w:val="1"/>
      <w:numFmt w:val="decimal"/>
      <w:lvlText w:val="%2."/>
      <w:lvlJc w:val="left"/>
      <w:pPr>
        <w:ind w:left="720" w:hanging="360"/>
      </w:pPr>
    </w:lvl>
    <w:lvl w:ilvl="2" w:tplc="315AB3D6">
      <w:start w:val="1"/>
      <w:numFmt w:val="decimal"/>
      <w:lvlText w:val="%3."/>
      <w:lvlJc w:val="left"/>
      <w:pPr>
        <w:ind w:left="720" w:hanging="360"/>
      </w:pPr>
    </w:lvl>
    <w:lvl w:ilvl="3" w:tplc="C390E51A">
      <w:start w:val="1"/>
      <w:numFmt w:val="decimal"/>
      <w:lvlText w:val="%4."/>
      <w:lvlJc w:val="left"/>
      <w:pPr>
        <w:ind w:left="720" w:hanging="360"/>
      </w:pPr>
    </w:lvl>
    <w:lvl w:ilvl="4" w:tplc="A08EF9B6">
      <w:start w:val="1"/>
      <w:numFmt w:val="decimal"/>
      <w:lvlText w:val="%5."/>
      <w:lvlJc w:val="left"/>
      <w:pPr>
        <w:ind w:left="720" w:hanging="360"/>
      </w:pPr>
    </w:lvl>
    <w:lvl w:ilvl="5" w:tplc="410E0496">
      <w:start w:val="1"/>
      <w:numFmt w:val="decimal"/>
      <w:lvlText w:val="%6."/>
      <w:lvlJc w:val="left"/>
      <w:pPr>
        <w:ind w:left="720" w:hanging="360"/>
      </w:pPr>
    </w:lvl>
    <w:lvl w:ilvl="6" w:tplc="5DA02326">
      <w:start w:val="1"/>
      <w:numFmt w:val="decimal"/>
      <w:lvlText w:val="%7."/>
      <w:lvlJc w:val="left"/>
      <w:pPr>
        <w:ind w:left="720" w:hanging="360"/>
      </w:pPr>
    </w:lvl>
    <w:lvl w:ilvl="7" w:tplc="EDD6D2DA">
      <w:start w:val="1"/>
      <w:numFmt w:val="decimal"/>
      <w:lvlText w:val="%8."/>
      <w:lvlJc w:val="left"/>
      <w:pPr>
        <w:ind w:left="720" w:hanging="360"/>
      </w:pPr>
    </w:lvl>
    <w:lvl w:ilvl="8" w:tplc="B6B83F5A">
      <w:start w:val="1"/>
      <w:numFmt w:val="decimal"/>
      <w:lvlText w:val="%9."/>
      <w:lvlJc w:val="left"/>
      <w:pPr>
        <w:ind w:left="720" w:hanging="360"/>
      </w:pPr>
    </w:lvl>
  </w:abstractNum>
  <w:abstractNum w:abstractNumId="8" w15:restartNumberingAfterBreak="0">
    <w:nsid w:val="6A516BFD"/>
    <w:multiLevelType w:val="hybridMultilevel"/>
    <w:tmpl w:val="2878E61E"/>
    <w:lvl w:ilvl="0" w:tplc="AD8E8CE2">
      <w:start w:val="1"/>
      <w:numFmt w:val="decimal"/>
      <w:lvlText w:val="%1."/>
      <w:lvlJc w:val="left"/>
      <w:pPr>
        <w:ind w:left="720" w:hanging="360"/>
      </w:pPr>
    </w:lvl>
    <w:lvl w:ilvl="1" w:tplc="238AACC2">
      <w:start w:val="1"/>
      <w:numFmt w:val="decimal"/>
      <w:lvlText w:val="%2."/>
      <w:lvlJc w:val="left"/>
      <w:pPr>
        <w:ind w:left="720" w:hanging="360"/>
      </w:pPr>
    </w:lvl>
    <w:lvl w:ilvl="2" w:tplc="2A7C4000">
      <w:start w:val="1"/>
      <w:numFmt w:val="decimal"/>
      <w:lvlText w:val="%3."/>
      <w:lvlJc w:val="left"/>
      <w:pPr>
        <w:ind w:left="720" w:hanging="360"/>
      </w:pPr>
    </w:lvl>
    <w:lvl w:ilvl="3" w:tplc="BFD25A58">
      <w:start w:val="1"/>
      <w:numFmt w:val="decimal"/>
      <w:lvlText w:val="%4."/>
      <w:lvlJc w:val="left"/>
      <w:pPr>
        <w:ind w:left="720" w:hanging="360"/>
      </w:pPr>
    </w:lvl>
    <w:lvl w:ilvl="4" w:tplc="467A10D6">
      <w:start w:val="1"/>
      <w:numFmt w:val="decimal"/>
      <w:lvlText w:val="%5."/>
      <w:lvlJc w:val="left"/>
      <w:pPr>
        <w:ind w:left="720" w:hanging="360"/>
      </w:pPr>
    </w:lvl>
    <w:lvl w:ilvl="5" w:tplc="2B860140">
      <w:start w:val="1"/>
      <w:numFmt w:val="decimal"/>
      <w:lvlText w:val="%6."/>
      <w:lvlJc w:val="left"/>
      <w:pPr>
        <w:ind w:left="720" w:hanging="360"/>
      </w:pPr>
    </w:lvl>
    <w:lvl w:ilvl="6" w:tplc="71844DF4">
      <w:start w:val="1"/>
      <w:numFmt w:val="decimal"/>
      <w:lvlText w:val="%7."/>
      <w:lvlJc w:val="left"/>
      <w:pPr>
        <w:ind w:left="720" w:hanging="360"/>
      </w:pPr>
    </w:lvl>
    <w:lvl w:ilvl="7" w:tplc="DDC6B3E6">
      <w:start w:val="1"/>
      <w:numFmt w:val="decimal"/>
      <w:lvlText w:val="%8."/>
      <w:lvlJc w:val="left"/>
      <w:pPr>
        <w:ind w:left="720" w:hanging="360"/>
      </w:pPr>
    </w:lvl>
    <w:lvl w:ilvl="8" w:tplc="F2A2BDD0">
      <w:start w:val="1"/>
      <w:numFmt w:val="decimal"/>
      <w:lvlText w:val="%9."/>
      <w:lvlJc w:val="left"/>
      <w:pPr>
        <w:ind w:left="720" w:hanging="360"/>
      </w:pPr>
    </w:lvl>
  </w:abstractNum>
  <w:abstractNum w:abstractNumId="9" w15:restartNumberingAfterBreak="0">
    <w:nsid w:val="6D3C53F5"/>
    <w:multiLevelType w:val="hybridMultilevel"/>
    <w:tmpl w:val="6B8415E6"/>
    <w:lvl w:ilvl="0" w:tplc="57A0ED4A">
      <w:start w:val="1"/>
      <w:numFmt w:val="decimal"/>
      <w:lvlText w:val="%1."/>
      <w:lvlJc w:val="left"/>
      <w:pPr>
        <w:ind w:left="720" w:hanging="360"/>
      </w:pPr>
    </w:lvl>
    <w:lvl w:ilvl="1" w:tplc="F80A2318">
      <w:start w:val="1"/>
      <w:numFmt w:val="decimal"/>
      <w:lvlText w:val="%2."/>
      <w:lvlJc w:val="left"/>
      <w:pPr>
        <w:ind w:left="720" w:hanging="360"/>
      </w:pPr>
    </w:lvl>
    <w:lvl w:ilvl="2" w:tplc="A9246742">
      <w:start w:val="1"/>
      <w:numFmt w:val="decimal"/>
      <w:lvlText w:val="%3."/>
      <w:lvlJc w:val="left"/>
      <w:pPr>
        <w:ind w:left="720" w:hanging="360"/>
      </w:pPr>
    </w:lvl>
    <w:lvl w:ilvl="3" w:tplc="EA46232C">
      <w:start w:val="1"/>
      <w:numFmt w:val="decimal"/>
      <w:lvlText w:val="%4."/>
      <w:lvlJc w:val="left"/>
      <w:pPr>
        <w:ind w:left="720" w:hanging="360"/>
      </w:pPr>
    </w:lvl>
    <w:lvl w:ilvl="4" w:tplc="9E548358">
      <w:start w:val="1"/>
      <w:numFmt w:val="decimal"/>
      <w:lvlText w:val="%5."/>
      <w:lvlJc w:val="left"/>
      <w:pPr>
        <w:ind w:left="720" w:hanging="360"/>
      </w:pPr>
    </w:lvl>
    <w:lvl w:ilvl="5" w:tplc="2B8E6810">
      <w:start w:val="1"/>
      <w:numFmt w:val="decimal"/>
      <w:lvlText w:val="%6."/>
      <w:lvlJc w:val="left"/>
      <w:pPr>
        <w:ind w:left="720" w:hanging="360"/>
      </w:pPr>
    </w:lvl>
    <w:lvl w:ilvl="6" w:tplc="89E48456">
      <w:start w:val="1"/>
      <w:numFmt w:val="decimal"/>
      <w:lvlText w:val="%7."/>
      <w:lvlJc w:val="left"/>
      <w:pPr>
        <w:ind w:left="720" w:hanging="360"/>
      </w:pPr>
    </w:lvl>
    <w:lvl w:ilvl="7" w:tplc="7ABAA8DC">
      <w:start w:val="1"/>
      <w:numFmt w:val="decimal"/>
      <w:lvlText w:val="%8."/>
      <w:lvlJc w:val="left"/>
      <w:pPr>
        <w:ind w:left="720" w:hanging="360"/>
      </w:pPr>
    </w:lvl>
    <w:lvl w:ilvl="8" w:tplc="94D66412">
      <w:start w:val="1"/>
      <w:numFmt w:val="decimal"/>
      <w:lvlText w:val="%9."/>
      <w:lvlJc w:val="left"/>
      <w:pPr>
        <w:ind w:left="720" w:hanging="360"/>
      </w:pPr>
    </w:lvl>
  </w:abstractNum>
  <w:abstractNum w:abstractNumId="10" w15:restartNumberingAfterBreak="0">
    <w:nsid w:val="77030421"/>
    <w:multiLevelType w:val="hybridMultilevel"/>
    <w:tmpl w:val="0672C6F6"/>
    <w:lvl w:ilvl="0" w:tplc="64601122">
      <w:start w:val="1"/>
      <w:numFmt w:val="bullet"/>
      <w:lvlText w:val=""/>
      <w:lvlJc w:val="left"/>
      <w:pPr>
        <w:ind w:left="720" w:hanging="360"/>
      </w:pPr>
      <w:rPr>
        <w:rFonts w:ascii="Symbol" w:hAnsi="Symbol"/>
      </w:rPr>
    </w:lvl>
    <w:lvl w:ilvl="1" w:tplc="B7F26F6C">
      <w:start w:val="1"/>
      <w:numFmt w:val="bullet"/>
      <w:lvlText w:val=""/>
      <w:lvlJc w:val="left"/>
      <w:pPr>
        <w:ind w:left="720" w:hanging="360"/>
      </w:pPr>
      <w:rPr>
        <w:rFonts w:ascii="Symbol" w:hAnsi="Symbol"/>
      </w:rPr>
    </w:lvl>
    <w:lvl w:ilvl="2" w:tplc="20188C4A">
      <w:start w:val="1"/>
      <w:numFmt w:val="bullet"/>
      <w:lvlText w:val=""/>
      <w:lvlJc w:val="left"/>
      <w:pPr>
        <w:ind w:left="720" w:hanging="360"/>
      </w:pPr>
      <w:rPr>
        <w:rFonts w:ascii="Symbol" w:hAnsi="Symbol"/>
      </w:rPr>
    </w:lvl>
    <w:lvl w:ilvl="3" w:tplc="59661304">
      <w:start w:val="1"/>
      <w:numFmt w:val="bullet"/>
      <w:lvlText w:val=""/>
      <w:lvlJc w:val="left"/>
      <w:pPr>
        <w:ind w:left="720" w:hanging="360"/>
      </w:pPr>
      <w:rPr>
        <w:rFonts w:ascii="Symbol" w:hAnsi="Symbol"/>
      </w:rPr>
    </w:lvl>
    <w:lvl w:ilvl="4" w:tplc="E31A18FA">
      <w:start w:val="1"/>
      <w:numFmt w:val="bullet"/>
      <w:lvlText w:val=""/>
      <w:lvlJc w:val="left"/>
      <w:pPr>
        <w:ind w:left="720" w:hanging="360"/>
      </w:pPr>
      <w:rPr>
        <w:rFonts w:ascii="Symbol" w:hAnsi="Symbol"/>
      </w:rPr>
    </w:lvl>
    <w:lvl w:ilvl="5" w:tplc="B86C796E">
      <w:start w:val="1"/>
      <w:numFmt w:val="bullet"/>
      <w:lvlText w:val=""/>
      <w:lvlJc w:val="left"/>
      <w:pPr>
        <w:ind w:left="720" w:hanging="360"/>
      </w:pPr>
      <w:rPr>
        <w:rFonts w:ascii="Symbol" w:hAnsi="Symbol"/>
      </w:rPr>
    </w:lvl>
    <w:lvl w:ilvl="6" w:tplc="D304F498">
      <w:start w:val="1"/>
      <w:numFmt w:val="bullet"/>
      <w:lvlText w:val=""/>
      <w:lvlJc w:val="left"/>
      <w:pPr>
        <w:ind w:left="720" w:hanging="360"/>
      </w:pPr>
      <w:rPr>
        <w:rFonts w:ascii="Symbol" w:hAnsi="Symbol"/>
      </w:rPr>
    </w:lvl>
    <w:lvl w:ilvl="7" w:tplc="2D8A91B4">
      <w:start w:val="1"/>
      <w:numFmt w:val="bullet"/>
      <w:lvlText w:val=""/>
      <w:lvlJc w:val="left"/>
      <w:pPr>
        <w:ind w:left="720" w:hanging="360"/>
      </w:pPr>
      <w:rPr>
        <w:rFonts w:ascii="Symbol" w:hAnsi="Symbol"/>
      </w:rPr>
    </w:lvl>
    <w:lvl w:ilvl="8" w:tplc="19CAB892">
      <w:start w:val="1"/>
      <w:numFmt w:val="bullet"/>
      <w:lvlText w:val=""/>
      <w:lvlJc w:val="left"/>
      <w:pPr>
        <w:ind w:left="720" w:hanging="360"/>
      </w:pPr>
      <w:rPr>
        <w:rFonts w:ascii="Symbol" w:hAnsi="Symbol"/>
      </w:rPr>
    </w:lvl>
  </w:abstractNum>
  <w:num w:numId="1" w16cid:durableId="1984234065">
    <w:abstractNumId w:val="3"/>
  </w:num>
  <w:num w:numId="2" w16cid:durableId="397364771">
    <w:abstractNumId w:val="5"/>
  </w:num>
  <w:num w:numId="3" w16cid:durableId="628780623">
    <w:abstractNumId w:val="8"/>
  </w:num>
  <w:num w:numId="4" w16cid:durableId="1190679782">
    <w:abstractNumId w:val="1"/>
  </w:num>
  <w:num w:numId="5" w16cid:durableId="1666587499">
    <w:abstractNumId w:val="6"/>
  </w:num>
  <w:num w:numId="6" w16cid:durableId="797576697">
    <w:abstractNumId w:val="9"/>
  </w:num>
  <w:num w:numId="7" w16cid:durableId="1581520183">
    <w:abstractNumId w:val="0"/>
  </w:num>
  <w:num w:numId="8" w16cid:durableId="381514811">
    <w:abstractNumId w:val="2"/>
  </w:num>
  <w:num w:numId="9" w16cid:durableId="1438595953">
    <w:abstractNumId w:val="4"/>
  </w:num>
  <w:num w:numId="10" w16cid:durableId="455024604">
    <w:abstractNumId w:val="10"/>
  </w:num>
  <w:num w:numId="11" w16cid:durableId="1585871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40F2A"/>
    <w:rsid w:val="0004123D"/>
    <w:rsid w:val="00057592"/>
    <w:rsid w:val="0007334C"/>
    <w:rsid w:val="0007750C"/>
    <w:rsid w:val="00080047"/>
    <w:rsid w:val="000B1BE7"/>
    <w:rsid w:val="000C63F6"/>
    <w:rsid w:val="000F7DA6"/>
    <w:rsid w:val="00101253"/>
    <w:rsid w:val="00103761"/>
    <w:rsid w:val="00105E82"/>
    <w:rsid w:val="00113EDB"/>
    <w:rsid w:val="00117A90"/>
    <w:rsid w:val="00126882"/>
    <w:rsid w:val="00127E75"/>
    <w:rsid w:val="001337EF"/>
    <w:rsid w:val="0014667A"/>
    <w:rsid w:val="0014706C"/>
    <w:rsid w:val="00147988"/>
    <w:rsid w:val="00157858"/>
    <w:rsid w:val="001725AA"/>
    <w:rsid w:val="00183D6A"/>
    <w:rsid w:val="001B4D9E"/>
    <w:rsid w:val="001D2DE7"/>
    <w:rsid w:val="001E236C"/>
    <w:rsid w:val="001F5587"/>
    <w:rsid w:val="00254C38"/>
    <w:rsid w:val="00264ECC"/>
    <w:rsid w:val="00265ED2"/>
    <w:rsid w:val="00270784"/>
    <w:rsid w:val="002730BC"/>
    <w:rsid w:val="002A5E48"/>
    <w:rsid w:val="002A7453"/>
    <w:rsid w:val="002B097A"/>
    <w:rsid w:val="002B0E1E"/>
    <w:rsid w:val="002E3CBE"/>
    <w:rsid w:val="002E5577"/>
    <w:rsid w:val="002F70B2"/>
    <w:rsid w:val="00317B84"/>
    <w:rsid w:val="00321A6B"/>
    <w:rsid w:val="00322FCA"/>
    <w:rsid w:val="00346CD8"/>
    <w:rsid w:val="00380DCF"/>
    <w:rsid w:val="00381201"/>
    <w:rsid w:val="003812EA"/>
    <w:rsid w:val="003813DE"/>
    <w:rsid w:val="00387B3F"/>
    <w:rsid w:val="003D451D"/>
    <w:rsid w:val="00423930"/>
    <w:rsid w:val="0043355B"/>
    <w:rsid w:val="00445D1A"/>
    <w:rsid w:val="004663F7"/>
    <w:rsid w:val="004709C0"/>
    <w:rsid w:val="00486F57"/>
    <w:rsid w:val="004B3B8B"/>
    <w:rsid w:val="004B53C9"/>
    <w:rsid w:val="004B71D3"/>
    <w:rsid w:val="004C59F0"/>
    <w:rsid w:val="004C6036"/>
    <w:rsid w:val="004F7772"/>
    <w:rsid w:val="00504A6B"/>
    <w:rsid w:val="005217BB"/>
    <w:rsid w:val="00522108"/>
    <w:rsid w:val="00525A6A"/>
    <w:rsid w:val="005439A8"/>
    <w:rsid w:val="005525AC"/>
    <w:rsid w:val="00557B58"/>
    <w:rsid w:val="005D2332"/>
    <w:rsid w:val="00615CAD"/>
    <w:rsid w:val="00634B68"/>
    <w:rsid w:val="0064519B"/>
    <w:rsid w:val="0066558D"/>
    <w:rsid w:val="00673FEA"/>
    <w:rsid w:val="00675B32"/>
    <w:rsid w:val="006B120B"/>
    <w:rsid w:val="006B379E"/>
    <w:rsid w:val="006C7FDE"/>
    <w:rsid w:val="006E1CAF"/>
    <w:rsid w:val="006E6158"/>
    <w:rsid w:val="006F7D09"/>
    <w:rsid w:val="007011AB"/>
    <w:rsid w:val="007034C5"/>
    <w:rsid w:val="007072FC"/>
    <w:rsid w:val="007126B2"/>
    <w:rsid w:val="00726446"/>
    <w:rsid w:val="00736FCA"/>
    <w:rsid w:val="007464B8"/>
    <w:rsid w:val="00793240"/>
    <w:rsid w:val="007B0C19"/>
    <w:rsid w:val="007B17CB"/>
    <w:rsid w:val="007B64E2"/>
    <w:rsid w:val="007C71D6"/>
    <w:rsid w:val="007E1081"/>
    <w:rsid w:val="007E6A41"/>
    <w:rsid w:val="008034F6"/>
    <w:rsid w:val="00835888"/>
    <w:rsid w:val="0084779C"/>
    <w:rsid w:val="008538C8"/>
    <w:rsid w:val="008567C5"/>
    <w:rsid w:val="00861210"/>
    <w:rsid w:val="00864AFC"/>
    <w:rsid w:val="008D6A74"/>
    <w:rsid w:val="008F1C67"/>
    <w:rsid w:val="008F230B"/>
    <w:rsid w:val="008F52C9"/>
    <w:rsid w:val="00914608"/>
    <w:rsid w:val="009154AD"/>
    <w:rsid w:val="009173E7"/>
    <w:rsid w:val="00925EF3"/>
    <w:rsid w:val="0093353B"/>
    <w:rsid w:val="00935BE6"/>
    <w:rsid w:val="00946D2F"/>
    <w:rsid w:val="0097551C"/>
    <w:rsid w:val="009D05E2"/>
    <w:rsid w:val="009E2238"/>
    <w:rsid w:val="009F7207"/>
    <w:rsid w:val="00A138CB"/>
    <w:rsid w:val="00A34025"/>
    <w:rsid w:val="00A3453C"/>
    <w:rsid w:val="00A570FB"/>
    <w:rsid w:val="00A76007"/>
    <w:rsid w:val="00A83B89"/>
    <w:rsid w:val="00A849F4"/>
    <w:rsid w:val="00AC7BD0"/>
    <w:rsid w:val="00AD689F"/>
    <w:rsid w:val="00AE5027"/>
    <w:rsid w:val="00B329BC"/>
    <w:rsid w:val="00B5367C"/>
    <w:rsid w:val="00B5526D"/>
    <w:rsid w:val="00B711C2"/>
    <w:rsid w:val="00B725C0"/>
    <w:rsid w:val="00B7633C"/>
    <w:rsid w:val="00B803C6"/>
    <w:rsid w:val="00B90539"/>
    <w:rsid w:val="00B9788A"/>
    <w:rsid w:val="00BA191F"/>
    <w:rsid w:val="00BD35D6"/>
    <w:rsid w:val="00BD51FF"/>
    <w:rsid w:val="00BE79F1"/>
    <w:rsid w:val="00BF2AB3"/>
    <w:rsid w:val="00C03995"/>
    <w:rsid w:val="00C22DFC"/>
    <w:rsid w:val="00C235C4"/>
    <w:rsid w:val="00C30ED8"/>
    <w:rsid w:val="00C467E9"/>
    <w:rsid w:val="00C52204"/>
    <w:rsid w:val="00C60D9C"/>
    <w:rsid w:val="00C64EAE"/>
    <w:rsid w:val="00C81849"/>
    <w:rsid w:val="00C84DC0"/>
    <w:rsid w:val="00C8695F"/>
    <w:rsid w:val="00CA5E1C"/>
    <w:rsid w:val="00CB13D3"/>
    <w:rsid w:val="00CB4C5B"/>
    <w:rsid w:val="00CD2712"/>
    <w:rsid w:val="00CD4981"/>
    <w:rsid w:val="00CE150E"/>
    <w:rsid w:val="00CF0C01"/>
    <w:rsid w:val="00CF69D1"/>
    <w:rsid w:val="00D0785A"/>
    <w:rsid w:val="00D202B9"/>
    <w:rsid w:val="00D216F1"/>
    <w:rsid w:val="00D22F4B"/>
    <w:rsid w:val="00D41DF4"/>
    <w:rsid w:val="00D45567"/>
    <w:rsid w:val="00D559E9"/>
    <w:rsid w:val="00D61860"/>
    <w:rsid w:val="00D65202"/>
    <w:rsid w:val="00D654DB"/>
    <w:rsid w:val="00D84037"/>
    <w:rsid w:val="00DB36F9"/>
    <w:rsid w:val="00DC14D1"/>
    <w:rsid w:val="00DC58B2"/>
    <w:rsid w:val="00DD5060"/>
    <w:rsid w:val="00DD72EC"/>
    <w:rsid w:val="00DE424D"/>
    <w:rsid w:val="00DF28A0"/>
    <w:rsid w:val="00E25C7C"/>
    <w:rsid w:val="00E31C28"/>
    <w:rsid w:val="00E45CFB"/>
    <w:rsid w:val="00E4784E"/>
    <w:rsid w:val="00E506AA"/>
    <w:rsid w:val="00E83AA6"/>
    <w:rsid w:val="00E95262"/>
    <w:rsid w:val="00EA2AAD"/>
    <w:rsid w:val="00EF4837"/>
    <w:rsid w:val="00EF53AC"/>
    <w:rsid w:val="00F04BE5"/>
    <w:rsid w:val="00F103AB"/>
    <w:rsid w:val="00F15167"/>
    <w:rsid w:val="00F17CEE"/>
    <w:rsid w:val="00F23D48"/>
    <w:rsid w:val="00F57594"/>
    <w:rsid w:val="00F662AB"/>
    <w:rsid w:val="00F831BD"/>
    <w:rsid w:val="00FA28FF"/>
    <w:rsid w:val="00FD1AF3"/>
    <w:rsid w:val="00FD742F"/>
    <w:rsid w:val="00FE0926"/>
    <w:rsid w:val="00FF2845"/>
    <w:rsid w:val="00FF2E0B"/>
    <w:rsid w:val="5921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CB4C5B"/>
  </w:style>
  <w:style w:type="character" w:customStyle="1" w:styleId="BodyTextChar">
    <w:name w:val="Body Text Char"/>
    <w:basedOn w:val="DefaultParagraphFont"/>
    <w:link w:val="BodyText"/>
    <w:uiPriority w:val="99"/>
    <w:semiHidden/>
    <w:rsid w:val="00CB4C5B"/>
  </w:style>
  <w:style w:type="character" w:styleId="UnresolvedMention">
    <w:name w:val="Unresolved Mention"/>
    <w:basedOn w:val="DefaultParagraphFont"/>
    <w:uiPriority w:val="99"/>
    <w:semiHidden/>
    <w:unhideWhenUsed/>
    <w:rsid w:val="00E5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4652</Characters>
  <Application>Microsoft Office Word</Application>
  <DocSecurity>4</DocSecurity>
  <Lines>67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Hicks</dc:creator>
  <cp:keywords/>
  <cp:lastModifiedBy>Rasmussen, Jeremy</cp:lastModifiedBy>
  <cp:revision>2</cp:revision>
  <dcterms:created xsi:type="dcterms:W3CDTF">2026-04-01T13:21:00Z</dcterms:created>
  <dcterms:modified xsi:type="dcterms:W3CDTF">2026-04-01T13:21:00Z</dcterms:modified>
</cp:coreProperties>
</file>