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53AB5C" w14:textId="41F0A939" w:rsidR="00615CAD" w:rsidRPr="00615CAD" w:rsidRDefault="00BB7C0B" w:rsidP="00615CAD">
      <w:pPr>
        <w:pStyle w:val="Logo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153B4E9" wp14:editId="3EDB15A0">
            <wp:simplePos x="0" y="0"/>
            <wp:positionH relativeFrom="column">
              <wp:posOffset>58783</wp:posOffset>
            </wp:positionH>
            <wp:positionV relativeFrom="paragraph">
              <wp:posOffset>727</wp:posOffset>
            </wp:positionV>
            <wp:extent cx="2880811" cy="59871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SKTC with tag@3x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0883" cy="609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DA8A81" w14:textId="1D76FC53" w:rsidR="00615CAD" w:rsidRPr="00B725C0" w:rsidRDefault="00B725C0" w:rsidP="00BB7C0B">
      <w:pPr>
        <w:pStyle w:val="Heading1"/>
        <w:ind w:left="720"/>
      </w:pPr>
      <w:r w:rsidRPr="00B725C0">
        <w:rPr>
          <w:sz w:val="16"/>
          <w:szCs w:val="16"/>
        </w:rPr>
        <w:br/>
      </w:r>
      <w:r w:rsidR="00BB7C0B">
        <w:t>`</w:t>
      </w:r>
      <w:r w:rsidR="00BB7C0B">
        <w:tab/>
      </w:r>
      <w:r w:rsidR="00BB7C0B">
        <w:tab/>
      </w:r>
      <w:r w:rsidR="00BB7C0B">
        <w:tab/>
      </w:r>
      <w:r w:rsidR="00BB7C0B">
        <w:tab/>
      </w:r>
      <w:r w:rsidR="00615CAD" w:rsidRPr="00B725C0">
        <w:t>Quick Review of</w:t>
      </w:r>
      <w:r w:rsidRPr="00B725C0">
        <w:t xml:space="preserve"> </w:t>
      </w:r>
      <w:r>
        <w:br/>
      </w:r>
      <w:r w:rsidR="00615CAD" w:rsidRPr="00B725C0">
        <w:t>Model System Research</w:t>
      </w:r>
    </w:p>
    <w:p w14:paraId="71136092" w14:textId="77777777" w:rsidR="00615CAD" w:rsidRDefault="00615CAD" w:rsidP="00387B3F">
      <w:pPr>
        <w:pStyle w:val="Heading2"/>
        <w:rPr>
          <w:rStyle w:val="FootnoteReference"/>
          <w:vertAlign w:val="baseline"/>
        </w:rPr>
        <w:sectPr w:rsidR="00615CAD" w:rsidSect="00B725C0">
          <w:headerReference w:type="default" r:id="rId9"/>
          <w:footerReference w:type="default" r:id="rId10"/>
          <w:pgSz w:w="12240" w:h="15840" w:code="1"/>
          <w:pgMar w:top="936" w:right="936" w:bottom="936" w:left="936" w:header="936" w:footer="936" w:gutter="0"/>
          <w:pgBorders>
            <w:top w:val="single" w:sz="4" w:space="0" w:color="auto"/>
            <w:left w:val="single" w:sz="4" w:space="4" w:color="auto"/>
            <w:bottom w:val="single" w:sz="4" w:space="0" w:color="auto"/>
            <w:right w:val="single" w:sz="4" w:space="4" w:color="auto"/>
          </w:pgBorders>
          <w:cols w:num="2" w:space="288" w:equalWidth="0">
            <w:col w:w="3960" w:space="288"/>
            <w:col w:w="6120"/>
          </w:cols>
          <w:docGrid w:linePitch="360"/>
        </w:sectPr>
      </w:pPr>
    </w:p>
    <w:p w14:paraId="1C004F0E" w14:textId="629D37AE" w:rsidR="00615CAD" w:rsidRPr="00964ACB" w:rsidRDefault="008141CC" w:rsidP="00E836BB">
      <w:pPr>
        <w:pStyle w:val="Heading2"/>
        <w:rPr>
          <w:color w:val="197CBD"/>
        </w:rPr>
      </w:pPr>
      <w:r>
        <w:rPr>
          <w:color w:val="197CBD"/>
        </w:rPr>
        <w:t>Post-Acute Care Setting is Associated With Employment After Burn Injury</w:t>
      </w:r>
    </w:p>
    <w:p w14:paraId="50B1D213" w14:textId="45A7B180" w:rsidR="00274C6F" w:rsidRDefault="00615CAD" w:rsidP="00A871C6">
      <w:pPr>
        <w:pStyle w:val="Heading3"/>
        <w:spacing w:before="360"/>
      </w:pPr>
      <w:r w:rsidRPr="00FA28FF">
        <w:t>What is</w:t>
      </w:r>
      <w:r w:rsidRPr="00615CAD">
        <w:t xml:space="preserve"> th</w:t>
      </w:r>
      <w:r w:rsidR="00B725C0">
        <w:t>e study about?</w:t>
      </w:r>
    </w:p>
    <w:p w14:paraId="465A6439" w14:textId="3FAD90CB" w:rsidR="00A871C6" w:rsidRPr="00A871C6" w:rsidRDefault="00A871C6" w:rsidP="00A871C6">
      <w:pPr>
        <w:ind w:left="90"/>
      </w:pPr>
      <w:r>
        <w:t>Th</w:t>
      </w:r>
      <w:r w:rsidR="00EE108E">
        <w:t>is</w:t>
      </w:r>
      <w:r>
        <w:t xml:space="preserve"> study looked </w:t>
      </w:r>
      <w:r w:rsidR="003616EC">
        <w:t xml:space="preserve">at </w:t>
      </w:r>
      <w:r w:rsidR="003455C2">
        <w:t xml:space="preserve">differences in long-term employment outcomes </w:t>
      </w:r>
      <w:r w:rsidR="00AA7F49">
        <w:t>for burn survivors who received</w:t>
      </w:r>
      <w:r w:rsidR="003455C2">
        <w:t xml:space="preserve"> post-acute care.</w:t>
      </w:r>
      <w:r w:rsidR="00996138">
        <w:t xml:space="preserve"> P</w:t>
      </w:r>
      <w:r w:rsidR="00AA7F49">
        <w:t>ost-acute care (PAC) settings</w:t>
      </w:r>
      <w:r w:rsidR="00996138">
        <w:t xml:space="preserve"> are facilities that provide rehabilitation or palliative services after a stay in an acute care hospital.</w:t>
      </w:r>
      <w:r w:rsidR="005E06DC">
        <w:t xml:space="preserve"> For example, PACs include </w:t>
      </w:r>
      <w:r w:rsidR="005E06DC" w:rsidRPr="00116BB3">
        <w:t>skilled nursing facilit</w:t>
      </w:r>
      <w:r w:rsidR="005E06DC">
        <w:t>ies</w:t>
      </w:r>
      <w:r w:rsidR="005E06DC" w:rsidRPr="00116BB3">
        <w:t>, long-term care hospital</w:t>
      </w:r>
      <w:r w:rsidR="005E06DC">
        <w:t xml:space="preserve">s, and inpatient rehabilitation facilities (IRF). </w:t>
      </w:r>
      <w:r w:rsidR="001855C0">
        <w:t xml:space="preserve">Returning to work </w:t>
      </w:r>
      <w:r w:rsidR="00604617">
        <w:t xml:space="preserve">is an important goal related to long-term functionality and </w:t>
      </w:r>
      <w:r w:rsidR="00B178C2">
        <w:t>quality of life</w:t>
      </w:r>
      <w:r w:rsidR="001C6E06">
        <w:t xml:space="preserve"> for burn survivors</w:t>
      </w:r>
      <w:r w:rsidR="00B178C2">
        <w:t>.</w:t>
      </w:r>
      <w:r w:rsidR="00D30ABB">
        <w:t xml:space="preserve"> </w:t>
      </w:r>
      <w:r w:rsidR="00E9315B">
        <w:t>However many burn survivors experience significant challenges that can delay or prevent full recovery and a return to their previous lifestyl</w:t>
      </w:r>
      <w:r w:rsidR="005946AE">
        <w:t xml:space="preserve">e, including resuming work. </w:t>
      </w:r>
      <w:r w:rsidR="000F6C8A">
        <w:t xml:space="preserve">Burn survivors with complex medical and rehabilitation needs </w:t>
      </w:r>
      <w:r w:rsidR="009C404A">
        <w:t>often transition to PAC settings</w:t>
      </w:r>
      <w:r w:rsidR="00AA7F49">
        <w:t xml:space="preserve"> after discharge from the burn unit</w:t>
      </w:r>
      <w:r w:rsidR="00244070">
        <w:t>.</w:t>
      </w:r>
      <w:r w:rsidR="00B178C2">
        <w:t xml:space="preserve"> </w:t>
      </w:r>
      <w:r w:rsidR="003455C2">
        <w:t xml:space="preserve"> </w:t>
      </w:r>
    </w:p>
    <w:p w14:paraId="0A6FEBE6" w14:textId="77777777" w:rsidR="001A558E" w:rsidRDefault="001A558E" w:rsidP="001A558E">
      <w:pPr>
        <w:pStyle w:val="Heading3"/>
      </w:pPr>
      <w:r w:rsidRPr="00FA28FF">
        <w:t>What did the study find?</w:t>
      </w:r>
    </w:p>
    <w:p w14:paraId="02B9840A" w14:textId="012DFC89" w:rsidR="001A558E" w:rsidRPr="00495409" w:rsidRDefault="001A558E" w:rsidP="001A558E">
      <w:pPr>
        <w:pStyle w:val="Body"/>
        <w:rPr>
          <w:rFonts w:asciiTheme="minorHAnsi" w:hAnsiTheme="minorHAnsi"/>
        </w:rPr>
      </w:pPr>
      <w:r>
        <w:rPr>
          <w:rFonts w:asciiTheme="minorHAnsi" w:hAnsiTheme="minorHAnsi"/>
        </w:rPr>
        <w:t>Researcher</w:t>
      </w:r>
      <w:r w:rsidR="008F4F17">
        <w:rPr>
          <w:rFonts w:asciiTheme="minorHAnsi" w:hAnsiTheme="minorHAnsi"/>
        </w:rPr>
        <w:t xml:space="preserve">s found </w:t>
      </w:r>
      <w:r w:rsidR="007B71FB">
        <w:rPr>
          <w:rFonts w:asciiTheme="minorHAnsi" w:hAnsiTheme="minorHAnsi"/>
        </w:rPr>
        <w:t>that</w:t>
      </w:r>
      <w:r w:rsidR="00AA7F49">
        <w:rPr>
          <w:rFonts w:asciiTheme="minorHAnsi" w:hAnsiTheme="minorHAnsi"/>
        </w:rPr>
        <w:t xml:space="preserve"> burn survivors who were admitted to an IRF had larger burns, were more likely to have an inhalation injury , and to undergo amputation</w:t>
      </w:r>
      <w:r w:rsidR="007B71FB">
        <w:rPr>
          <w:rFonts w:asciiTheme="minorHAnsi" w:hAnsiTheme="minorHAnsi"/>
        </w:rPr>
        <w:t xml:space="preserve"> </w:t>
      </w:r>
      <w:r w:rsidR="009F7EA4">
        <w:rPr>
          <w:rFonts w:asciiTheme="minorHAnsi" w:hAnsiTheme="minorHAnsi"/>
        </w:rPr>
        <w:t>compar</w:t>
      </w:r>
      <w:r w:rsidR="00AA7F49">
        <w:rPr>
          <w:rFonts w:asciiTheme="minorHAnsi" w:hAnsiTheme="minorHAnsi"/>
        </w:rPr>
        <w:t>ed</w:t>
      </w:r>
      <w:r w:rsidR="009F7EA4">
        <w:rPr>
          <w:rFonts w:asciiTheme="minorHAnsi" w:hAnsiTheme="minorHAnsi"/>
        </w:rPr>
        <w:t xml:space="preserve"> to </w:t>
      </w:r>
      <w:r w:rsidR="00AA7F49">
        <w:rPr>
          <w:rFonts w:asciiTheme="minorHAnsi" w:hAnsiTheme="minorHAnsi"/>
        </w:rPr>
        <w:t>survivor</w:t>
      </w:r>
      <w:r w:rsidR="009F7EA4">
        <w:rPr>
          <w:rFonts w:asciiTheme="minorHAnsi" w:hAnsiTheme="minorHAnsi"/>
        </w:rPr>
        <w:t xml:space="preserve">s who </w:t>
      </w:r>
      <w:r w:rsidR="006B5AB1">
        <w:rPr>
          <w:rFonts w:asciiTheme="minorHAnsi" w:hAnsiTheme="minorHAnsi"/>
        </w:rPr>
        <w:t>were treated at a skilled nursing facility,</w:t>
      </w:r>
      <w:r w:rsidR="003B103D">
        <w:rPr>
          <w:rFonts w:asciiTheme="minorHAnsi" w:hAnsiTheme="minorHAnsi"/>
        </w:rPr>
        <w:t xml:space="preserve"> long-term care hospital, or other extended-care facility (i.e., Other</w:t>
      </w:r>
      <w:r w:rsidR="008D7A43">
        <w:rPr>
          <w:rFonts w:asciiTheme="minorHAnsi" w:hAnsiTheme="minorHAnsi"/>
        </w:rPr>
        <w:t xml:space="preserve"> Rehab group)</w:t>
      </w:r>
      <w:r w:rsidR="00AA7F49">
        <w:rPr>
          <w:rFonts w:asciiTheme="minorHAnsi" w:hAnsiTheme="minorHAnsi"/>
        </w:rPr>
        <w:t xml:space="preserve">. Moreover, survivors </w:t>
      </w:r>
      <w:r w:rsidR="00653260">
        <w:rPr>
          <w:rFonts w:asciiTheme="minorHAnsi" w:hAnsiTheme="minorHAnsi"/>
        </w:rPr>
        <w:t xml:space="preserve">who were treated at an IRF </w:t>
      </w:r>
      <w:r w:rsidR="00C350DC">
        <w:rPr>
          <w:rFonts w:asciiTheme="minorHAnsi" w:hAnsiTheme="minorHAnsi"/>
        </w:rPr>
        <w:t>had over 9 times increased odds of being employed</w:t>
      </w:r>
      <w:r w:rsidR="00553A11">
        <w:rPr>
          <w:rFonts w:asciiTheme="minorHAnsi" w:hAnsiTheme="minorHAnsi"/>
        </w:rPr>
        <w:t xml:space="preserve"> (i.e., they were more likely to be employed)</w:t>
      </w:r>
      <w:r w:rsidR="00C350DC">
        <w:rPr>
          <w:rFonts w:asciiTheme="minorHAnsi" w:hAnsiTheme="minorHAnsi"/>
        </w:rPr>
        <w:t xml:space="preserve"> compared to the </w:t>
      </w:r>
      <w:r w:rsidR="008D7A43">
        <w:rPr>
          <w:rFonts w:asciiTheme="minorHAnsi" w:hAnsiTheme="minorHAnsi"/>
        </w:rPr>
        <w:t>Other Rehab group</w:t>
      </w:r>
      <w:r w:rsidR="00AA7F49">
        <w:rPr>
          <w:rFonts w:asciiTheme="minorHAnsi" w:hAnsiTheme="minorHAnsi"/>
        </w:rPr>
        <w:t xml:space="preserve"> at one year after injury</w:t>
      </w:r>
      <w:r w:rsidR="008D7A43">
        <w:rPr>
          <w:rFonts w:asciiTheme="minorHAnsi" w:hAnsiTheme="minorHAnsi"/>
        </w:rPr>
        <w:t xml:space="preserve">. </w:t>
      </w:r>
      <w:r w:rsidR="00E71F67">
        <w:rPr>
          <w:rFonts w:asciiTheme="minorHAnsi" w:hAnsiTheme="minorHAnsi"/>
        </w:rPr>
        <w:t>Even though IRFs admitted patients with more sever</w:t>
      </w:r>
      <w:r w:rsidR="00D70D28">
        <w:rPr>
          <w:rFonts w:asciiTheme="minorHAnsi" w:hAnsiTheme="minorHAnsi"/>
        </w:rPr>
        <w:t>e</w:t>
      </w:r>
      <w:r w:rsidR="00E71F67">
        <w:rPr>
          <w:rFonts w:asciiTheme="minorHAnsi" w:hAnsiTheme="minorHAnsi"/>
        </w:rPr>
        <w:t xml:space="preserve"> injuries</w:t>
      </w:r>
      <w:r w:rsidR="00D70D28">
        <w:rPr>
          <w:rFonts w:asciiTheme="minorHAnsi" w:hAnsiTheme="minorHAnsi"/>
        </w:rPr>
        <w:t xml:space="preserve">, IRFs </w:t>
      </w:r>
      <w:r w:rsidR="003B767C">
        <w:rPr>
          <w:rFonts w:asciiTheme="minorHAnsi" w:hAnsiTheme="minorHAnsi"/>
        </w:rPr>
        <w:t>provided a long-term benefit for survivors of burn injury regarding employment.</w:t>
      </w:r>
      <w:r w:rsidR="00E71F67">
        <w:rPr>
          <w:rFonts w:asciiTheme="minorHAnsi" w:hAnsiTheme="minorHAnsi"/>
        </w:rPr>
        <w:t xml:space="preserve"> </w:t>
      </w:r>
    </w:p>
    <w:p w14:paraId="4D088AA8" w14:textId="0ED065F8" w:rsidR="00615CAD" w:rsidRDefault="00615CAD" w:rsidP="000B1BE7">
      <w:pPr>
        <w:pStyle w:val="Heading3"/>
      </w:pPr>
      <w:r w:rsidRPr="000B1BE7">
        <w:t>Who participated in the</w:t>
      </w:r>
      <w:r w:rsidR="00B725C0" w:rsidRPr="000B1BE7">
        <w:t xml:space="preserve"> study?</w:t>
      </w:r>
    </w:p>
    <w:p w14:paraId="50D50EE0" w14:textId="2656C78B" w:rsidR="00274C6F" w:rsidRPr="00274C6F" w:rsidRDefault="00274C6F" w:rsidP="00A871C6">
      <w:pPr>
        <w:ind w:left="90"/>
      </w:pPr>
      <w:r>
        <w:t>The study included</w:t>
      </w:r>
      <w:r w:rsidR="005E2AA6">
        <w:t xml:space="preserve"> 695 adult survivors of burn injury</w:t>
      </w:r>
      <w:r w:rsidR="005657B4">
        <w:t xml:space="preserve"> (</w:t>
      </w:r>
      <w:r w:rsidR="00CB234B">
        <w:t>IRF group, N=447; Other Rehab group, N=248</w:t>
      </w:r>
      <w:r w:rsidR="005657B4">
        <w:t>)</w:t>
      </w:r>
      <w:r w:rsidR="005E2AA6">
        <w:t xml:space="preserve"> enrolled between May 1994 and June 2016 who required post-acute care at a Burn Model System center</w:t>
      </w:r>
      <w:r w:rsidR="00495409">
        <w:t xml:space="preserve">. </w:t>
      </w:r>
    </w:p>
    <w:p w14:paraId="5A791BB4" w14:textId="77777777" w:rsidR="00615CAD" w:rsidRPr="00FA28FF" w:rsidRDefault="00615CAD" w:rsidP="000B1BE7">
      <w:pPr>
        <w:pStyle w:val="Heading3"/>
      </w:pPr>
      <w:r w:rsidRPr="00FA28FF">
        <w:t>How was the study conducted?</w:t>
      </w:r>
    </w:p>
    <w:p w14:paraId="7328A66C" w14:textId="6423B37B" w:rsidR="00615CAD" w:rsidRPr="00495409" w:rsidRDefault="002B0D6A" w:rsidP="00615CAD">
      <w:pPr>
        <w:pStyle w:val="Body"/>
        <w:rPr>
          <w:rFonts w:asciiTheme="minorHAnsi" w:hAnsiTheme="minorHAnsi"/>
        </w:rPr>
      </w:pPr>
      <w:r>
        <w:rPr>
          <w:rFonts w:asciiTheme="minorHAnsi" w:hAnsiTheme="minorHAnsi"/>
        </w:rPr>
        <w:t xml:space="preserve">Researchers </w:t>
      </w:r>
      <w:r w:rsidR="00D377BC">
        <w:rPr>
          <w:rFonts w:asciiTheme="minorHAnsi" w:hAnsiTheme="minorHAnsi"/>
        </w:rPr>
        <w:t xml:space="preserve">looked at employment status at 12 months post injury. </w:t>
      </w:r>
      <w:r w:rsidR="002D3B6D">
        <w:rPr>
          <w:rFonts w:asciiTheme="minorHAnsi" w:hAnsiTheme="minorHAnsi"/>
        </w:rPr>
        <w:t>Statistical analyses</w:t>
      </w:r>
      <w:r w:rsidR="00672A0F">
        <w:rPr>
          <w:rFonts w:asciiTheme="minorHAnsi" w:hAnsiTheme="minorHAnsi"/>
        </w:rPr>
        <w:t xml:space="preserve"> (propensity score matching and logistic regression)</w:t>
      </w:r>
      <w:r w:rsidR="002D3B6D">
        <w:rPr>
          <w:rFonts w:asciiTheme="minorHAnsi" w:hAnsiTheme="minorHAnsi"/>
        </w:rPr>
        <w:t xml:space="preserve"> were used to determine the effect of post-acute care setting on employment status. </w:t>
      </w:r>
    </w:p>
    <w:p w14:paraId="42DE830F" w14:textId="77777777" w:rsidR="00E41616" w:rsidRDefault="00E41616">
      <w:pPr>
        <w:pStyle w:val="Heading3"/>
      </w:pPr>
      <w:r>
        <w:t>How can people use the results?</w:t>
      </w:r>
    </w:p>
    <w:p w14:paraId="6C5CCB26" w14:textId="10AD3F68" w:rsidR="00E41616" w:rsidRPr="0068344B" w:rsidRDefault="00036597" w:rsidP="0068344B">
      <w:pPr>
        <w:pStyle w:val="Body"/>
      </w:pPr>
      <w:r>
        <w:rPr>
          <w:rFonts w:asciiTheme="minorHAnsi" w:hAnsiTheme="minorHAnsi"/>
        </w:rPr>
        <w:t xml:space="preserve">Burn survivors and their families can use these results to </w:t>
      </w:r>
      <w:r w:rsidR="00202C66">
        <w:rPr>
          <w:rFonts w:asciiTheme="minorHAnsi" w:hAnsiTheme="minorHAnsi"/>
        </w:rPr>
        <w:t>impro</w:t>
      </w:r>
      <w:r w:rsidR="0002387E">
        <w:rPr>
          <w:rFonts w:asciiTheme="minorHAnsi" w:hAnsiTheme="minorHAnsi"/>
        </w:rPr>
        <w:t>ve</w:t>
      </w:r>
      <w:r w:rsidR="00CA0132">
        <w:rPr>
          <w:rFonts w:asciiTheme="minorHAnsi" w:hAnsiTheme="minorHAnsi"/>
        </w:rPr>
        <w:t xml:space="preserve"> their understanding of how the type of </w:t>
      </w:r>
      <w:r w:rsidR="00384810">
        <w:rPr>
          <w:rFonts w:asciiTheme="minorHAnsi" w:hAnsiTheme="minorHAnsi"/>
        </w:rPr>
        <w:t>PAC</w:t>
      </w:r>
      <w:r w:rsidR="00CA0132">
        <w:rPr>
          <w:rFonts w:asciiTheme="minorHAnsi" w:hAnsiTheme="minorHAnsi"/>
        </w:rPr>
        <w:t xml:space="preserve"> setting </w:t>
      </w:r>
      <w:r w:rsidR="00172EFD">
        <w:rPr>
          <w:rFonts w:asciiTheme="minorHAnsi" w:hAnsiTheme="minorHAnsi"/>
        </w:rPr>
        <w:t>can impact</w:t>
      </w:r>
      <w:r w:rsidR="006F31FB">
        <w:rPr>
          <w:rFonts w:asciiTheme="minorHAnsi" w:hAnsiTheme="minorHAnsi"/>
        </w:rPr>
        <w:t xml:space="preserve"> a survivor’s</w:t>
      </w:r>
      <w:r w:rsidR="00172EFD">
        <w:rPr>
          <w:rFonts w:asciiTheme="minorHAnsi" w:hAnsiTheme="minorHAnsi"/>
        </w:rPr>
        <w:t xml:space="preserve"> </w:t>
      </w:r>
      <w:r w:rsidR="006F31FB">
        <w:rPr>
          <w:rFonts w:asciiTheme="minorHAnsi" w:hAnsiTheme="minorHAnsi"/>
        </w:rPr>
        <w:t>future employment</w:t>
      </w:r>
      <w:r w:rsidR="00E41616" w:rsidRPr="0068344B">
        <w:rPr>
          <w:rFonts w:asciiTheme="minorHAnsi" w:hAnsiTheme="minorHAnsi"/>
        </w:rPr>
        <w:t>.</w:t>
      </w:r>
      <w:r w:rsidR="006F31FB">
        <w:rPr>
          <w:rFonts w:asciiTheme="minorHAnsi" w:hAnsiTheme="minorHAnsi"/>
        </w:rPr>
        <w:t xml:space="preserve"> Researchers and clinicians can use these results </w:t>
      </w:r>
      <w:r w:rsidR="00DC26E4">
        <w:rPr>
          <w:rFonts w:asciiTheme="minorHAnsi" w:hAnsiTheme="minorHAnsi"/>
        </w:rPr>
        <w:t>to further explore the</w:t>
      </w:r>
      <w:r w:rsidR="0002387E">
        <w:rPr>
          <w:rFonts w:asciiTheme="minorHAnsi" w:hAnsiTheme="minorHAnsi"/>
        </w:rPr>
        <w:t xml:space="preserve"> potential beneficial</w:t>
      </w:r>
      <w:r w:rsidR="00DC26E4">
        <w:rPr>
          <w:rFonts w:asciiTheme="minorHAnsi" w:hAnsiTheme="minorHAnsi"/>
        </w:rPr>
        <w:t xml:space="preserve"> effects of </w:t>
      </w:r>
      <w:r w:rsidR="0002387E">
        <w:rPr>
          <w:rFonts w:asciiTheme="minorHAnsi" w:hAnsiTheme="minorHAnsi"/>
        </w:rPr>
        <w:t>IRF</w:t>
      </w:r>
      <w:r w:rsidR="0083263A">
        <w:rPr>
          <w:rFonts w:asciiTheme="minorHAnsi" w:hAnsiTheme="minorHAnsi"/>
        </w:rPr>
        <w:t xml:space="preserve"> </w:t>
      </w:r>
      <w:r w:rsidR="00691B07">
        <w:rPr>
          <w:rFonts w:asciiTheme="minorHAnsi" w:hAnsiTheme="minorHAnsi"/>
        </w:rPr>
        <w:t xml:space="preserve">intensive </w:t>
      </w:r>
      <w:r w:rsidR="0083263A">
        <w:rPr>
          <w:rFonts w:asciiTheme="minorHAnsi" w:hAnsiTheme="minorHAnsi"/>
        </w:rPr>
        <w:t>services</w:t>
      </w:r>
      <w:r w:rsidR="00691B07">
        <w:rPr>
          <w:rFonts w:asciiTheme="minorHAnsi" w:hAnsiTheme="minorHAnsi"/>
        </w:rPr>
        <w:t xml:space="preserve"> on patient outcomes.</w:t>
      </w:r>
      <w:r w:rsidR="0083263A">
        <w:rPr>
          <w:rFonts w:asciiTheme="minorHAnsi" w:hAnsiTheme="minorHAnsi"/>
        </w:rPr>
        <w:t xml:space="preserve"> </w:t>
      </w:r>
    </w:p>
    <w:p w14:paraId="00AFFD16" w14:textId="751D2D39" w:rsidR="00E41616" w:rsidRDefault="00622485" w:rsidP="00E41616">
      <w:pPr>
        <w:pStyle w:val="Heading3"/>
      </w:pPr>
      <w:r>
        <w:t xml:space="preserve">Reference </w:t>
      </w:r>
    </w:p>
    <w:p w14:paraId="0B7CCCBC" w14:textId="296DFE4F" w:rsidR="00E41616" w:rsidRPr="00C8628B" w:rsidRDefault="00154AD4" w:rsidP="0068344B">
      <w:pPr>
        <w:pStyle w:val="Heading3"/>
        <w:ind w:left="140"/>
        <w:rPr>
          <w:rFonts w:asciiTheme="minorHAnsi" w:eastAsia="Helvetica,Times New Roman" w:hAnsiTheme="minorHAnsi" w:cs="Times New Roman"/>
          <w:b w:val="0"/>
          <w:bCs w:val="0"/>
          <w:noProof w:val="0"/>
          <w:color w:val="auto"/>
          <w:sz w:val="22"/>
          <w:szCs w:val="22"/>
        </w:rPr>
      </w:pPr>
      <w:r>
        <w:rPr>
          <w:rFonts w:asciiTheme="minorHAnsi" w:eastAsiaTheme="minorHAnsi" w:hAnsiTheme="minorHAnsi"/>
          <w:b w:val="0"/>
          <w:noProof w:val="0"/>
          <w:color w:val="auto"/>
          <w:sz w:val="22"/>
          <w:szCs w:val="20"/>
        </w:rPr>
        <w:t xml:space="preserve">Leda, F., </w:t>
      </w:r>
      <w:r w:rsidR="00A32137">
        <w:rPr>
          <w:rFonts w:asciiTheme="minorHAnsi" w:eastAsiaTheme="minorHAnsi" w:hAnsiTheme="minorHAnsi"/>
          <w:b w:val="0"/>
          <w:noProof w:val="0"/>
          <w:color w:val="auto"/>
          <w:sz w:val="22"/>
          <w:szCs w:val="20"/>
        </w:rPr>
        <w:t xml:space="preserve">Espinoza, B. A., Simko, L. C., Goldstein, R., McMullen, K. A., </w:t>
      </w:r>
      <w:r w:rsidR="00770556">
        <w:rPr>
          <w:rFonts w:asciiTheme="minorHAnsi" w:eastAsiaTheme="minorHAnsi" w:hAnsiTheme="minorHAnsi"/>
          <w:b w:val="0"/>
          <w:noProof w:val="0"/>
          <w:color w:val="auto"/>
          <w:sz w:val="22"/>
          <w:szCs w:val="20"/>
        </w:rPr>
        <w:t xml:space="preserve">Slocum, C., </w:t>
      </w:r>
      <w:r w:rsidR="000D09C6">
        <w:rPr>
          <w:rFonts w:asciiTheme="minorHAnsi" w:eastAsiaTheme="minorHAnsi" w:hAnsiTheme="minorHAnsi"/>
          <w:b w:val="0"/>
          <w:noProof w:val="0"/>
          <w:color w:val="auto"/>
          <w:sz w:val="22"/>
          <w:szCs w:val="20"/>
        </w:rPr>
        <w:t>... Schneider, J.</w:t>
      </w:r>
      <w:r w:rsidR="00C8628B">
        <w:rPr>
          <w:rFonts w:asciiTheme="minorHAnsi" w:eastAsiaTheme="minorHAnsi" w:hAnsiTheme="minorHAnsi"/>
          <w:b w:val="0"/>
          <w:noProof w:val="0"/>
          <w:color w:val="auto"/>
          <w:sz w:val="22"/>
          <w:szCs w:val="20"/>
        </w:rPr>
        <w:t xml:space="preserve"> </w:t>
      </w:r>
      <w:r w:rsidR="000D09C6">
        <w:rPr>
          <w:rFonts w:asciiTheme="minorHAnsi" w:eastAsiaTheme="minorHAnsi" w:hAnsiTheme="minorHAnsi"/>
          <w:b w:val="0"/>
          <w:noProof w:val="0"/>
          <w:color w:val="auto"/>
          <w:sz w:val="22"/>
          <w:szCs w:val="20"/>
        </w:rPr>
        <w:t>C</w:t>
      </w:r>
      <w:r w:rsidR="00622485" w:rsidRPr="0068344B">
        <w:rPr>
          <w:rFonts w:asciiTheme="minorHAnsi" w:eastAsiaTheme="minorHAnsi" w:hAnsiTheme="minorHAnsi"/>
          <w:b w:val="0"/>
          <w:noProof w:val="0"/>
          <w:color w:val="auto"/>
          <w:sz w:val="22"/>
          <w:szCs w:val="20"/>
        </w:rPr>
        <w:t>. (201</w:t>
      </w:r>
      <w:r w:rsidR="000D09C6">
        <w:rPr>
          <w:rFonts w:asciiTheme="minorHAnsi" w:eastAsiaTheme="minorHAnsi" w:hAnsiTheme="minorHAnsi"/>
          <w:b w:val="0"/>
          <w:noProof w:val="0"/>
          <w:color w:val="auto"/>
          <w:sz w:val="22"/>
          <w:szCs w:val="20"/>
        </w:rPr>
        <w:t>9</w:t>
      </w:r>
      <w:r w:rsidR="00622485" w:rsidRPr="0068344B">
        <w:rPr>
          <w:rFonts w:asciiTheme="minorHAnsi" w:eastAsiaTheme="minorHAnsi" w:hAnsiTheme="minorHAnsi"/>
          <w:b w:val="0"/>
          <w:noProof w:val="0"/>
          <w:color w:val="auto"/>
          <w:sz w:val="22"/>
          <w:szCs w:val="20"/>
        </w:rPr>
        <w:t>).</w:t>
      </w:r>
      <w:r w:rsidR="000D09C6">
        <w:rPr>
          <w:rFonts w:asciiTheme="minorHAnsi" w:eastAsiaTheme="minorHAnsi" w:hAnsiTheme="minorHAnsi"/>
          <w:b w:val="0"/>
          <w:noProof w:val="0"/>
          <w:color w:val="auto"/>
          <w:sz w:val="22"/>
          <w:szCs w:val="20"/>
        </w:rPr>
        <w:t xml:space="preserve"> </w:t>
      </w:r>
      <w:r w:rsidR="00D21BC1">
        <w:rPr>
          <w:rFonts w:asciiTheme="minorHAnsi" w:eastAsiaTheme="minorHAnsi" w:hAnsiTheme="minorHAnsi"/>
          <w:b w:val="0"/>
          <w:noProof w:val="0"/>
          <w:color w:val="auto"/>
          <w:sz w:val="22"/>
          <w:szCs w:val="20"/>
        </w:rPr>
        <w:t>Post-acute care setting is associated with employment after burn injury</w:t>
      </w:r>
      <w:r w:rsidR="00622485" w:rsidRPr="0068344B">
        <w:rPr>
          <w:rFonts w:asciiTheme="minorHAnsi" w:eastAsiaTheme="minorHAnsi" w:hAnsiTheme="minorHAnsi"/>
          <w:b w:val="0"/>
          <w:noProof w:val="0"/>
          <w:color w:val="auto"/>
          <w:sz w:val="22"/>
          <w:szCs w:val="20"/>
        </w:rPr>
        <w:t xml:space="preserve">. </w:t>
      </w:r>
      <w:r w:rsidR="00D21BC1" w:rsidRPr="00C8628B">
        <w:rPr>
          <w:rFonts w:asciiTheme="minorHAnsi" w:eastAsiaTheme="minorHAnsi" w:hAnsiTheme="minorHAnsi"/>
          <w:b w:val="0"/>
          <w:i/>
          <w:iCs/>
          <w:noProof w:val="0"/>
          <w:color w:val="auto"/>
          <w:sz w:val="22"/>
          <w:szCs w:val="20"/>
        </w:rPr>
        <w:t>Archives of Physical Medicine and Rehabilitation</w:t>
      </w:r>
      <w:r w:rsidR="00622485" w:rsidRPr="00C8628B">
        <w:rPr>
          <w:rFonts w:asciiTheme="minorHAnsi" w:eastAsiaTheme="minorHAnsi" w:hAnsiTheme="minorHAnsi"/>
          <w:b w:val="0"/>
          <w:i/>
          <w:iCs/>
          <w:noProof w:val="0"/>
          <w:color w:val="auto"/>
          <w:sz w:val="22"/>
          <w:szCs w:val="20"/>
        </w:rPr>
        <w:t xml:space="preserve">, </w:t>
      </w:r>
      <w:r w:rsidR="00305620" w:rsidRPr="00C8628B">
        <w:rPr>
          <w:rFonts w:asciiTheme="minorHAnsi" w:eastAsiaTheme="minorHAnsi" w:hAnsiTheme="minorHAnsi"/>
          <w:b w:val="0"/>
          <w:i/>
          <w:iCs/>
          <w:noProof w:val="0"/>
          <w:color w:val="auto"/>
          <w:sz w:val="22"/>
          <w:szCs w:val="20"/>
        </w:rPr>
        <w:t>100</w:t>
      </w:r>
      <w:r w:rsidR="00622485" w:rsidRPr="0068344B">
        <w:rPr>
          <w:rFonts w:asciiTheme="minorHAnsi" w:eastAsiaTheme="minorHAnsi" w:hAnsiTheme="minorHAnsi"/>
          <w:b w:val="0"/>
          <w:noProof w:val="0"/>
          <w:color w:val="auto"/>
          <w:sz w:val="22"/>
          <w:szCs w:val="20"/>
        </w:rPr>
        <w:t>(</w:t>
      </w:r>
      <w:r w:rsidR="00305620">
        <w:rPr>
          <w:rFonts w:asciiTheme="minorHAnsi" w:eastAsiaTheme="minorHAnsi" w:hAnsiTheme="minorHAnsi"/>
          <w:b w:val="0"/>
          <w:noProof w:val="0"/>
          <w:color w:val="auto"/>
          <w:sz w:val="22"/>
          <w:szCs w:val="20"/>
        </w:rPr>
        <w:t>1</w:t>
      </w:r>
      <w:r w:rsidR="00622485" w:rsidRPr="0068344B">
        <w:rPr>
          <w:rFonts w:asciiTheme="minorHAnsi" w:eastAsiaTheme="minorHAnsi" w:hAnsiTheme="minorHAnsi"/>
          <w:b w:val="0"/>
          <w:noProof w:val="0"/>
          <w:color w:val="auto"/>
          <w:sz w:val="22"/>
          <w:szCs w:val="20"/>
        </w:rPr>
        <w:t xml:space="preserve">1), </w:t>
      </w:r>
      <w:r w:rsidR="00305620">
        <w:rPr>
          <w:rFonts w:asciiTheme="minorHAnsi" w:eastAsiaTheme="minorHAnsi" w:hAnsiTheme="minorHAnsi"/>
          <w:b w:val="0"/>
          <w:noProof w:val="0"/>
          <w:color w:val="auto"/>
          <w:sz w:val="22"/>
          <w:szCs w:val="20"/>
        </w:rPr>
        <w:t>2015</w:t>
      </w:r>
      <w:r w:rsidR="00622485" w:rsidRPr="0068344B">
        <w:rPr>
          <w:rFonts w:asciiTheme="minorHAnsi" w:eastAsiaTheme="minorHAnsi" w:hAnsiTheme="minorHAnsi"/>
          <w:b w:val="0"/>
          <w:noProof w:val="0"/>
          <w:color w:val="auto"/>
          <w:sz w:val="22"/>
          <w:szCs w:val="20"/>
        </w:rPr>
        <w:t>-</w:t>
      </w:r>
      <w:r w:rsidR="00305620">
        <w:rPr>
          <w:rFonts w:asciiTheme="minorHAnsi" w:eastAsiaTheme="minorHAnsi" w:hAnsiTheme="minorHAnsi"/>
          <w:b w:val="0"/>
          <w:noProof w:val="0"/>
          <w:color w:val="auto"/>
          <w:sz w:val="22"/>
          <w:szCs w:val="20"/>
        </w:rPr>
        <w:t>2021</w:t>
      </w:r>
      <w:r w:rsidR="00622485" w:rsidRPr="0068344B">
        <w:rPr>
          <w:rFonts w:asciiTheme="minorHAnsi" w:eastAsia="Helvetica,Times New Roman" w:hAnsiTheme="minorHAnsi" w:cs="Times New Roman"/>
          <w:b w:val="0"/>
          <w:bCs w:val="0"/>
          <w:noProof w:val="0"/>
          <w:color w:val="auto"/>
          <w:szCs w:val="24"/>
        </w:rPr>
        <w:t>.</w:t>
      </w:r>
      <w:r w:rsidR="00622485">
        <w:rPr>
          <w:rFonts w:asciiTheme="minorHAnsi" w:eastAsia="Helvetica,Times New Roman" w:hAnsiTheme="minorHAnsi" w:cs="Times New Roman"/>
          <w:b w:val="0"/>
          <w:bCs w:val="0"/>
          <w:noProof w:val="0"/>
          <w:color w:val="auto"/>
          <w:szCs w:val="24"/>
        </w:rPr>
        <w:t xml:space="preserve"> </w:t>
      </w:r>
      <w:r w:rsidR="00622485" w:rsidRPr="00C8628B">
        <w:rPr>
          <w:rFonts w:asciiTheme="minorHAnsi" w:eastAsia="Helvetica,Times New Roman" w:hAnsiTheme="minorHAnsi" w:cs="Times New Roman"/>
          <w:b w:val="0"/>
          <w:bCs w:val="0"/>
          <w:noProof w:val="0"/>
          <w:color w:val="auto"/>
          <w:sz w:val="22"/>
          <w:szCs w:val="22"/>
        </w:rPr>
        <w:t>[</w:t>
      </w:r>
      <w:r w:rsidR="00305620" w:rsidRPr="00C8628B">
        <w:rPr>
          <w:rFonts w:asciiTheme="minorHAnsi" w:eastAsia="Helvetica,Times New Roman" w:hAnsiTheme="minorHAnsi" w:cs="Times New Roman"/>
          <w:b w:val="0"/>
          <w:bCs w:val="0"/>
          <w:noProof w:val="0"/>
          <w:color w:val="auto"/>
          <w:sz w:val="22"/>
          <w:szCs w:val="22"/>
        </w:rPr>
        <w:t>https://pubmed.ncbi.nlm.nih.gov/31278926/]</w:t>
      </w:r>
    </w:p>
    <w:p w14:paraId="29B6E8C4" w14:textId="3825EC65" w:rsidR="00A871C6" w:rsidRPr="00A871C6" w:rsidRDefault="00622485" w:rsidP="0068344B">
      <w:pPr>
        <w:ind w:firstLine="140"/>
      </w:pPr>
      <w:r w:rsidRPr="0068344B">
        <w:rPr>
          <w:rFonts w:ascii="Arial Narrow" w:eastAsiaTheme="majorEastAsia" w:hAnsi="Arial Narrow" w:cstheme="minorHAnsi"/>
          <w:noProof/>
          <w:color w:val="006F42"/>
          <w:sz w:val="24"/>
          <w:szCs w:val="26"/>
        </w:rPr>
        <w:t>Disclaimer</w:t>
      </w:r>
    </w:p>
    <w:p w14:paraId="4F39F5EE" w14:textId="4E25EC55" w:rsidR="002166DC" w:rsidRPr="00AE5EFD" w:rsidRDefault="00AE5EFD" w:rsidP="0068344B">
      <w:pPr>
        <w:pStyle w:val="Background"/>
        <w:ind w:left="140"/>
        <w:jc w:val="left"/>
        <w:rPr>
          <w:color w:val="000000" w:themeColor="text1"/>
        </w:rPr>
      </w:pPr>
      <w:r w:rsidRPr="00AE5EFD">
        <w:rPr>
          <w:color w:val="000000" w:themeColor="text1"/>
          <w:szCs w:val="18"/>
        </w:rPr>
        <w:lastRenderedPageBreak/>
        <w:t xml:space="preserve">The contents of this </w:t>
      </w:r>
      <w:r w:rsidR="006D6CC9">
        <w:rPr>
          <w:color w:val="000000" w:themeColor="text1"/>
          <w:szCs w:val="18"/>
        </w:rPr>
        <w:t>quick review</w:t>
      </w:r>
      <w:r w:rsidRPr="00AE5EFD">
        <w:rPr>
          <w:color w:val="000000" w:themeColor="text1"/>
          <w:szCs w:val="18"/>
        </w:rPr>
        <w:t xml:space="preserve"> were developed under a grant from the National Institute on Disability, Independent Living, and Rehabilitation Research (NIDILRR grant number 90DP0082). NIDILRR is a Center within the Administration for Community Living (ACL), Department of Health and Human Services (HHS). The contents of this </w:t>
      </w:r>
      <w:r w:rsidR="006D6CC9">
        <w:rPr>
          <w:color w:val="000000" w:themeColor="text1"/>
          <w:szCs w:val="18"/>
        </w:rPr>
        <w:t>quick review</w:t>
      </w:r>
      <w:r w:rsidRPr="00AE5EFD">
        <w:rPr>
          <w:color w:val="000000" w:themeColor="text1"/>
          <w:szCs w:val="18"/>
        </w:rPr>
        <w:t xml:space="preserve"> do not necessarily represent the policy of NIDILRR, ACL, HHS, and you should not assume endorsement by the Federal Government.</w:t>
      </w:r>
    </w:p>
    <w:sectPr w:rsidR="002166DC" w:rsidRPr="00AE5EFD" w:rsidSect="00615CAD">
      <w:type w:val="continuous"/>
      <w:pgSz w:w="12240" w:h="15840" w:code="1"/>
      <w:pgMar w:top="936" w:right="936" w:bottom="936" w:left="936" w:header="936" w:footer="936" w:gutter="0"/>
      <w:pgBorders>
        <w:top w:val="single" w:sz="4" w:space="0" w:color="auto"/>
        <w:left w:val="single" w:sz="4" w:space="4" w:color="auto"/>
        <w:bottom w:val="single" w:sz="4" w:space="0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8F0A07" w14:textId="77777777" w:rsidR="009154AD" w:rsidRDefault="009154AD">
      <w:pPr>
        <w:spacing w:before="0" w:after="0" w:line="240" w:lineRule="auto"/>
      </w:pPr>
      <w:r>
        <w:separator/>
      </w:r>
    </w:p>
  </w:endnote>
  <w:endnote w:type="continuationSeparator" w:id="0">
    <w:p w14:paraId="18275972" w14:textId="77777777" w:rsidR="009154AD" w:rsidRDefault="009154AD">
      <w:pPr>
        <w:spacing w:before="0" w:after="0" w:line="240" w:lineRule="auto"/>
      </w:pPr>
      <w:r>
        <w:continuationSeparator/>
      </w:r>
    </w:p>
  </w:endnote>
  <w:endnote w:type="continuationNotice" w:id="1">
    <w:p w14:paraId="4E278485" w14:textId="77777777" w:rsidR="009154AD" w:rsidRDefault="009154AD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,Times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383CFF" w14:textId="12EC5684" w:rsidR="009154AD" w:rsidRPr="006C4AAA" w:rsidRDefault="00493FEF" w:rsidP="00D73901">
    <w:pPr>
      <w:pStyle w:val="Header"/>
      <w:shd w:val="clear" w:color="auto" w:fill="197CBD"/>
      <w:tabs>
        <w:tab w:val="left" w:pos="1710"/>
      </w:tabs>
      <w:spacing w:line="280" w:lineRule="exact"/>
      <w:ind w:left="-72" w:right="-72"/>
      <w:jc w:val="center"/>
      <w:rPr>
        <w:rFonts w:ascii="Arial" w:hAnsi="Arial" w:cs="Arial"/>
        <w:color w:val="FFFFFF" w:themeColor="background1"/>
        <w:sz w:val="20"/>
        <w:szCs w:val="20"/>
      </w:rPr>
    </w:pPr>
    <w:hyperlink r:id="rId1" w:history="1">
      <w:r w:rsidR="006C4AAA" w:rsidRPr="006C4AAA">
        <w:rPr>
          <w:rStyle w:val="Hyperlink"/>
          <w:color w:val="FFFFFF" w:themeColor="background1"/>
          <w:u w:val="none"/>
        </w:rPr>
        <w:t>https://msktc.org/burn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7E0686" w14:textId="4308716E" w:rsidR="009154AD" w:rsidRPr="006C7FDE" w:rsidRDefault="009154AD" w:rsidP="006C7FDE">
      <w:pPr>
        <w:pStyle w:val="Footer"/>
      </w:pPr>
    </w:p>
  </w:footnote>
  <w:footnote w:type="continuationSeparator" w:id="0">
    <w:p w14:paraId="364D1AA9" w14:textId="35F46C9E" w:rsidR="009154AD" w:rsidRPr="006C7FDE" w:rsidRDefault="009154AD" w:rsidP="006C7FDE">
      <w:pPr>
        <w:pStyle w:val="Footer"/>
      </w:pPr>
    </w:p>
  </w:footnote>
  <w:footnote w:type="continuationNotice" w:id="1">
    <w:p w14:paraId="1507C460" w14:textId="77777777" w:rsidR="009154AD" w:rsidRDefault="009154AD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75F73D" w14:textId="77777777" w:rsidR="009154AD" w:rsidRPr="00282533" w:rsidRDefault="009154AD" w:rsidP="00D73901">
    <w:pPr>
      <w:pStyle w:val="Header"/>
      <w:shd w:val="clear" w:color="auto" w:fill="3FB79B"/>
      <w:tabs>
        <w:tab w:val="left" w:pos="1710"/>
      </w:tabs>
      <w:spacing w:after="240" w:line="280" w:lineRule="exact"/>
      <w:ind w:left="-72" w:right="-72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816A3C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88C56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6F635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296F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49E76B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02B4A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4E2A9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81E2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33056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07699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8B4408"/>
    <w:multiLevelType w:val="hybridMultilevel"/>
    <w:tmpl w:val="B09CF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ED4214"/>
    <w:multiLevelType w:val="hybridMultilevel"/>
    <w:tmpl w:val="99E8E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EDB"/>
    <w:rsid w:val="00012BD6"/>
    <w:rsid w:val="0002387E"/>
    <w:rsid w:val="00036597"/>
    <w:rsid w:val="00040F2A"/>
    <w:rsid w:val="0004123D"/>
    <w:rsid w:val="00057592"/>
    <w:rsid w:val="0007334C"/>
    <w:rsid w:val="00080047"/>
    <w:rsid w:val="000B1BE7"/>
    <w:rsid w:val="000C63F6"/>
    <w:rsid w:val="000D09C6"/>
    <w:rsid w:val="000F205C"/>
    <w:rsid w:val="000F6C8A"/>
    <w:rsid w:val="000F7D73"/>
    <w:rsid w:val="00101253"/>
    <w:rsid w:val="00105E82"/>
    <w:rsid w:val="00113369"/>
    <w:rsid w:val="00113EDB"/>
    <w:rsid w:val="00117A29"/>
    <w:rsid w:val="00117A90"/>
    <w:rsid w:val="00127E75"/>
    <w:rsid w:val="001337EF"/>
    <w:rsid w:val="00147988"/>
    <w:rsid w:val="00154AD4"/>
    <w:rsid w:val="00157858"/>
    <w:rsid w:val="001725AA"/>
    <w:rsid w:val="00172EFD"/>
    <w:rsid w:val="00183D6A"/>
    <w:rsid w:val="001855C0"/>
    <w:rsid w:val="001A558E"/>
    <w:rsid w:val="001B4D9E"/>
    <w:rsid w:val="001B6EEE"/>
    <w:rsid w:val="001C6E06"/>
    <w:rsid w:val="001E236C"/>
    <w:rsid w:val="001F5587"/>
    <w:rsid w:val="00202C66"/>
    <w:rsid w:val="002166DC"/>
    <w:rsid w:val="00244070"/>
    <w:rsid w:val="00264ECC"/>
    <w:rsid w:val="0026577E"/>
    <w:rsid w:val="00270784"/>
    <w:rsid w:val="002730BC"/>
    <w:rsid w:val="00274C6F"/>
    <w:rsid w:val="002A7453"/>
    <w:rsid w:val="002B097A"/>
    <w:rsid w:val="002B0D6A"/>
    <w:rsid w:val="002D3B6D"/>
    <w:rsid w:val="002E3CBE"/>
    <w:rsid w:val="002E5577"/>
    <w:rsid w:val="00305620"/>
    <w:rsid w:val="00317B84"/>
    <w:rsid w:val="00321A6B"/>
    <w:rsid w:val="00322FCA"/>
    <w:rsid w:val="003455C2"/>
    <w:rsid w:val="00346CD8"/>
    <w:rsid w:val="003616EC"/>
    <w:rsid w:val="003655ED"/>
    <w:rsid w:val="00380DCF"/>
    <w:rsid w:val="003812EA"/>
    <w:rsid w:val="00384810"/>
    <w:rsid w:val="00387B3F"/>
    <w:rsid w:val="00394F59"/>
    <w:rsid w:val="003B103D"/>
    <w:rsid w:val="003B767C"/>
    <w:rsid w:val="003D451D"/>
    <w:rsid w:val="00423930"/>
    <w:rsid w:val="0043355B"/>
    <w:rsid w:val="00445D1A"/>
    <w:rsid w:val="004663F7"/>
    <w:rsid w:val="004709C0"/>
    <w:rsid w:val="00486F57"/>
    <w:rsid w:val="00493FEF"/>
    <w:rsid w:val="00495409"/>
    <w:rsid w:val="004A0C59"/>
    <w:rsid w:val="004B3B8B"/>
    <w:rsid w:val="004B71D3"/>
    <w:rsid w:val="004C6036"/>
    <w:rsid w:val="004D4CC5"/>
    <w:rsid w:val="004F7772"/>
    <w:rsid w:val="00522108"/>
    <w:rsid w:val="00525A6A"/>
    <w:rsid w:val="00540132"/>
    <w:rsid w:val="005439A8"/>
    <w:rsid w:val="00553A11"/>
    <w:rsid w:val="00557B58"/>
    <w:rsid w:val="005657B4"/>
    <w:rsid w:val="005946AE"/>
    <w:rsid w:val="005D2332"/>
    <w:rsid w:val="005E06DC"/>
    <w:rsid w:val="005E2AA6"/>
    <w:rsid w:val="00604617"/>
    <w:rsid w:val="00615CAD"/>
    <w:rsid w:val="00622485"/>
    <w:rsid w:val="0064519B"/>
    <w:rsid w:val="00653260"/>
    <w:rsid w:val="0065531C"/>
    <w:rsid w:val="0066558D"/>
    <w:rsid w:val="00672A0F"/>
    <w:rsid w:val="00673FEA"/>
    <w:rsid w:val="00675B32"/>
    <w:rsid w:val="0068344B"/>
    <w:rsid w:val="00691B07"/>
    <w:rsid w:val="006B5AB1"/>
    <w:rsid w:val="006C4AAA"/>
    <w:rsid w:val="006C7FDE"/>
    <w:rsid w:val="006D6CC9"/>
    <w:rsid w:val="006E1CAF"/>
    <w:rsid w:val="006E6158"/>
    <w:rsid w:val="006F31FB"/>
    <w:rsid w:val="007034C5"/>
    <w:rsid w:val="007126B2"/>
    <w:rsid w:val="00736FCA"/>
    <w:rsid w:val="00746B0D"/>
    <w:rsid w:val="00770556"/>
    <w:rsid w:val="0077583F"/>
    <w:rsid w:val="00793240"/>
    <w:rsid w:val="007B17CB"/>
    <w:rsid w:val="007B64E2"/>
    <w:rsid w:val="007B71FB"/>
    <w:rsid w:val="007C71D6"/>
    <w:rsid w:val="007D4E58"/>
    <w:rsid w:val="007E1081"/>
    <w:rsid w:val="007E6A41"/>
    <w:rsid w:val="008034F6"/>
    <w:rsid w:val="008141CC"/>
    <w:rsid w:val="0083263A"/>
    <w:rsid w:val="00835888"/>
    <w:rsid w:val="0084779C"/>
    <w:rsid w:val="008567C5"/>
    <w:rsid w:val="00861210"/>
    <w:rsid w:val="00864AFC"/>
    <w:rsid w:val="008D6A74"/>
    <w:rsid w:val="008D7A43"/>
    <w:rsid w:val="008F1C67"/>
    <w:rsid w:val="008F230B"/>
    <w:rsid w:val="008F4F17"/>
    <w:rsid w:val="00914608"/>
    <w:rsid w:val="009154AD"/>
    <w:rsid w:val="00925EF3"/>
    <w:rsid w:val="0093353B"/>
    <w:rsid w:val="009435FC"/>
    <w:rsid w:val="00964ACB"/>
    <w:rsid w:val="0097551C"/>
    <w:rsid w:val="009905E0"/>
    <w:rsid w:val="00996138"/>
    <w:rsid w:val="009C404A"/>
    <w:rsid w:val="009D05E2"/>
    <w:rsid w:val="009F7207"/>
    <w:rsid w:val="009F7EA4"/>
    <w:rsid w:val="00A32137"/>
    <w:rsid w:val="00A34025"/>
    <w:rsid w:val="00A3453C"/>
    <w:rsid w:val="00A570FB"/>
    <w:rsid w:val="00A76007"/>
    <w:rsid w:val="00A83B89"/>
    <w:rsid w:val="00A871C6"/>
    <w:rsid w:val="00AA7F49"/>
    <w:rsid w:val="00AD5422"/>
    <w:rsid w:val="00AD689F"/>
    <w:rsid w:val="00AE5027"/>
    <w:rsid w:val="00AE5EFD"/>
    <w:rsid w:val="00B178C2"/>
    <w:rsid w:val="00B329BC"/>
    <w:rsid w:val="00B5367C"/>
    <w:rsid w:val="00B5526D"/>
    <w:rsid w:val="00B6787A"/>
    <w:rsid w:val="00B711C2"/>
    <w:rsid w:val="00B725C0"/>
    <w:rsid w:val="00B7633C"/>
    <w:rsid w:val="00B803C6"/>
    <w:rsid w:val="00B90539"/>
    <w:rsid w:val="00B9788A"/>
    <w:rsid w:val="00BA191F"/>
    <w:rsid w:val="00BB7C0B"/>
    <w:rsid w:val="00BD51FF"/>
    <w:rsid w:val="00C235C4"/>
    <w:rsid w:val="00C30ED8"/>
    <w:rsid w:val="00C350DC"/>
    <w:rsid w:val="00C467E9"/>
    <w:rsid w:val="00C52204"/>
    <w:rsid w:val="00C60D9C"/>
    <w:rsid w:val="00C64EAE"/>
    <w:rsid w:val="00C70295"/>
    <w:rsid w:val="00C81849"/>
    <w:rsid w:val="00C84DC0"/>
    <w:rsid w:val="00C8628B"/>
    <w:rsid w:val="00C8695F"/>
    <w:rsid w:val="00CA0132"/>
    <w:rsid w:val="00CB0A77"/>
    <w:rsid w:val="00CB234B"/>
    <w:rsid w:val="00CD2712"/>
    <w:rsid w:val="00CE77B2"/>
    <w:rsid w:val="00D202B9"/>
    <w:rsid w:val="00D216F1"/>
    <w:rsid w:val="00D21BC1"/>
    <w:rsid w:val="00D22F4B"/>
    <w:rsid w:val="00D268AC"/>
    <w:rsid w:val="00D30ABB"/>
    <w:rsid w:val="00D377BC"/>
    <w:rsid w:val="00D40AB9"/>
    <w:rsid w:val="00D41DF4"/>
    <w:rsid w:val="00D45567"/>
    <w:rsid w:val="00D559E9"/>
    <w:rsid w:val="00D61860"/>
    <w:rsid w:val="00D70D28"/>
    <w:rsid w:val="00D73901"/>
    <w:rsid w:val="00D84037"/>
    <w:rsid w:val="00DC14D1"/>
    <w:rsid w:val="00DC26E4"/>
    <w:rsid w:val="00DC58B2"/>
    <w:rsid w:val="00DD5060"/>
    <w:rsid w:val="00DD72EC"/>
    <w:rsid w:val="00DE424D"/>
    <w:rsid w:val="00DF28A0"/>
    <w:rsid w:val="00E25C7C"/>
    <w:rsid w:val="00E31C28"/>
    <w:rsid w:val="00E41616"/>
    <w:rsid w:val="00E45CFB"/>
    <w:rsid w:val="00E4784E"/>
    <w:rsid w:val="00E71F67"/>
    <w:rsid w:val="00E836BB"/>
    <w:rsid w:val="00E83AA6"/>
    <w:rsid w:val="00E9315B"/>
    <w:rsid w:val="00E95262"/>
    <w:rsid w:val="00EA2AAD"/>
    <w:rsid w:val="00EE108E"/>
    <w:rsid w:val="00EF53AC"/>
    <w:rsid w:val="00F04BE5"/>
    <w:rsid w:val="00F103AB"/>
    <w:rsid w:val="00F15167"/>
    <w:rsid w:val="00F17CEE"/>
    <w:rsid w:val="00F23D48"/>
    <w:rsid w:val="00F57594"/>
    <w:rsid w:val="00F831BD"/>
    <w:rsid w:val="00FA28FF"/>
    <w:rsid w:val="00FD742F"/>
    <w:rsid w:val="00FF2845"/>
    <w:rsid w:val="00FF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B89261"/>
  <w15:docId w15:val="{1C3352F6-78CA-4ADB-8E7F-162225992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3B8B"/>
    <w:pPr>
      <w:spacing w:before="120" w:after="120"/>
    </w:pPr>
  </w:style>
  <w:style w:type="paragraph" w:styleId="Heading1">
    <w:name w:val="heading 1"/>
    <w:link w:val="Heading1Char"/>
    <w:uiPriority w:val="9"/>
    <w:qFormat/>
    <w:rsid w:val="00113EDB"/>
    <w:pPr>
      <w:spacing w:after="0" w:line="240" w:lineRule="auto"/>
      <w:jc w:val="center"/>
      <w:outlineLvl w:val="0"/>
    </w:pPr>
    <w:rPr>
      <w:rFonts w:ascii="Arial" w:hAnsi="Arial" w:cs="Arial"/>
      <w:b/>
      <w:color w:val="006F42"/>
      <w:sz w:val="40"/>
      <w:szCs w:val="40"/>
    </w:rPr>
  </w:style>
  <w:style w:type="paragraph" w:styleId="Heading2">
    <w:name w:val="heading 2"/>
    <w:next w:val="Normal"/>
    <w:link w:val="Heading2Char"/>
    <w:uiPriority w:val="9"/>
    <w:unhideWhenUsed/>
    <w:qFormat/>
    <w:rsid w:val="00387B3F"/>
    <w:pPr>
      <w:spacing w:before="360" w:after="180" w:line="240" w:lineRule="auto"/>
      <w:ind w:right="230"/>
      <w:jc w:val="center"/>
      <w:outlineLvl w:val="1"/>
    </w:pPr>
    <w:rPr>
      <w:rFonts w:ascii="Arial" w:eastAsiaTheme="majorEastAsia" w:hAnsi="Arial" w:cstheme="minorHAnsi"/>
      <w:b/>
      <w:bCs/>
      <w:noProof/>
      <w:color w:val="CA602C"/>
      <w:sz w:val="28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3B8B"/>
    <w:pPr>
      <w:keepNext/>
      <w:keepLines/>
      <w:spacing w:before="200" w:after="0"/>
      <w:ind w:left="90"/>
      <w:outlineLvl w:val="2"/>
    </w:pPr>
    <w:rPr>
      <w:rFonts w:ascii="Arial Narrow" w:eastAsiaTheme="majorEastAsia" w:hAnsi="Arial Narrow" w:cstheme="minorHAnsi"/>
      <w:b/>
      <w:bCs/>
      <w:noProof/>
      <w:color w:val="006F42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3EDB"/>
    <w:rPr>
      <w:rFonts w:ascii="Arial" w:hAnsi="Arial" w:cs="Arial"/>
      <w:b/>
      <w:color w:val="006F42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387B3F"/>
    <w:rPr>
      <w:rFonts w:ascii="Arial" w:eastAsiaTheme="majorEastAsia" w:hAnsi="Arial" w:cstheme="minorHAnsi"/>
      <w:b/>
      <w:bCs/>
      <w:noProof/>
      <w:color w:val="CA602C"/>
      <w:sz w:val="28"/>
      <w:szCs w:val="32"/>
    </w:rPr>
  </w:style>
  <w:style w:type="paragraph" w:styleId="Header">
    <w:name w:val="header"/>
    <w:basedOn w:val="Normal"/>
    <w:link w:val="HeaderChar"/>
    <w:uiPriority w:val="99"/>
    <w:unhideWhenUsed/>
    <w:rsid w:val="00113EDB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EDB"/>
  </w:style>
  <w:style w:type="table" w:styleId="TableGrid">
    <w:name w:val="Table Grid"/>
    <w:basedOn w:val="TableNormal"/>
    <w:uiPriority w:val="59"/>
    <w:rsid w:val="00113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qFormat/>
    <w:rsid w:val="004B3B8B"/>
    <w:pPr>
      <w:spacing w:after="240" w:line="300" w:lineRule="exact"/>
      <w:ind w:left="90" w:right="230"/>
    </w:pPr>
    <w:rPr>
      <w:rFonts w:ascii="Arial Narrow" w:hAnsi="Arial Narrow" w:cstheme="minorHAnsi"/>
      <w:bCs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13ED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3ED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ED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9526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127E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7E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7E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7E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7E75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F2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22108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108"/>
  </w:style>
  <w:style w:type="paragraph" w:styleId="FootnoteText">
    <w:name w:val="footnote text"/>
    <w:basedOn w:val="Normal"/>
    <w:link w:val="FootnoteTextChar"/>
    <w:uiPriority w:val="99"/>
    <w:semiHidden/>
    <w:unhideWhenUsed/>
    <w:rsid w:val="004B3B8B"/>
    <w:pPr>
      <w:spacing w:before="0" w:after="0" w:line="240" w:lineRule="auto"/>
    </w:pPr>
    <w:rPr>
      <w:rFonts w:ascii="Arial Narrow" w:hAnsi="Arial Narrow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B3B8B"/>
    <w:rPr>
      <w:rFonts w:ascii="Arial Narrow" w:hAnsi="Arial Narrow"/>
      <w:sz w:val="20"/>
      <w:szCs w:val="20"/>
    </w:rPr>
  </w:style>
  <w:style w:type="paragraph" w:styleId="Revision">
    <w:name w:val="Revision"/>
    <w:hidden/>
    <w:uiPriority w:val="99"/>
    <w:semiHidden/>
    <w:rsid w:val="00057592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3B8B"/>
    <w:rPr>
      <w:rFonts w:ascii="Arial Narrow" w:eastAsiaTheme="majorEastAsia" w:hAnsi="Arial Narrow" w:cstheme="minorHAnsi"/>
      <w:b/>
      <w:bCs/>
      <w:noProof/>
      <w:color w:val="006F42"/>
      <w:sz w:val="24"/>
      <w:szCs w:val="26"/>
    </w:rPr>
  </w:style>
  <w:style w:type="paragraph" w:customStyle="1" w:styleId="Logo">
    <w:name w:val="Logo"/>
    <w:qFormat/>
    <w:rsid w:val="00B725C0"/>
    <w:pPr>
      <w:spacing w:line="240" w:lineRule="auto"/>
      <w:ind w:left="86"/>
    </w:pPr>
    <w:rPr>
      <w:rFonts w:cstheme="minorHAnsi"/>
      <w:bCs/>
      <w:szCs w:val="20"/>
    </w:rPr>
  </w:style>
  <w:style w:type="paragraph" w:customStyle="1" w:styleId="Background">
    <w:name w:val="Background"/>
    <w:qFormat/>
    <w:rsid w:val="004B3B8B"/>
    <w:pPr>
      <w:spacing w:before="360"/>
      <w:jc w:val="center"/>
    </w:pPr>
    <w:rPr>
      <w:rFonts w:ascii="Arial Narrow" w:hAnsi="Arial Narrow" w:cstheme="minorHAnsi"/>
      <w:sz w:val="18"/>
    </w:rPr>
  </w:style>
  <w:style w:type="paragraph" w:customStyle="1" w:styleId="BodyTextPostHeading">
    <w:name w:val="Body Text Post Heading"/>
    <w:basedOn w:val="BodyText"/>
    <w:next w:val="BodyText"/>
    <w:qFormat/>
    <w:rsid w:val="001A558E"/>
    <w:pPr>
      <w:spacing w:before="0" w:after="240" w:line="240" w:lineRule="auto"/>
    </w:pPr>
    <w:rPr>
      <w:rFonts w:eastAsia="Helvetica,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1A558E"/>
  </w:style>
  <w:style w:type="character" w:customStyle="1" w:styleId="BodyTextChar">
    <w:name w:val="Body Text Char"/>
    <w:basedOn w:val="DefaultParagraphFont"/>
    <w:link w:val="BodyText"/>
    <w:uiPriority w:val="99"/>
    <w:semiHidden/>
    <w:rsid w:val="001A55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4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5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9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45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67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msktc.org/bur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23B63054-F1C2-4447-88B2-7E3DB8AEF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1792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Chronic Inflammation After Severe Traumatic Brain Injury: Characterization and Associations With Outcomes 6 and 12 Months Postinjury</vt:lpstr>
    </vt:vector>
  </TitlesOfParts>
  <Company>American Institutes for Research</Company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Chronic Inflammation After Severe Traumatic Brain Injury: Characterization and Associations With Outcomes 6 and 12 Months Postinjury</dc:title>
  <dc:subject>Chronic Inflammation After Severe Traumatic Brain Injury</dc:subject>
  <dc:creator>National Institute on Disability and Rehabilitation Research</dc:creator>
  <cp:keywords>inflammation; traumatic brain injury (TBI); severe closed-head TBI; study group; control group; blood samples; Glasgow Outcome Scale; chronic inflammatory response</cp:keywords>
  <cp:lastModifiedBy>Pakstis, Allyson</cp:lastModifiedBy>
  <cp:revision>67</cp:revision>
  <cp:lastPrinted>2014-09-23T15:34:00Z</cp:lastPrinted>
  <dcterms:created xsi:type="dcterms:W3CDTF">2021-08-18T15:39:00Z</dcterms:created>
  <dcterms:modified xsi:type="dcterms:W3CDTF">2021-10-12T15:14:00Z</dcterms:modified>
</cp:coreProperties>
</file>