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34F01F3" w14:textId="77777777" w:rsidR="008D1D99" w:rsidRDefault="008D1D99" w:rsidP="00A871C6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r w:rsidRPr="008D1D99">
        <w:rPr>
          <w:rFonts w:ascii="Arial" w:hAnsi="Arial"/>
          <w:color w:val="CA602C"/>
          <w:sz w:val="28"/>
          <w:szCs w:val="32"/>
        </w:rPr>
        <w:t>Return to Productivity Projections for Individuals With Moderate to Severe TBI Following Inpatient Rehabilitation: A NIDILRR TBIMS and CDC Interagency Collaboration</w:t>
      </w:r>
    </w:p>
    <w:p w14:paraId="50B1D213" w14:textId="751C8CB5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4524D66F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</w:t>
      </w:r>
      <w:r w:rsidR="008D1D99">
        <w:rPr>
          <w:rFonts w:ascii="Calibri" w:hAnsi="Calibri"/>
          <w:b w:val="0"/>
          <w:color w:val="auto"/>
          <w:sz w:val="22"/>
        </w:rPr>
        <w:t>examines the probability of returning to productivty</w:t>
      </w:r>
      <w:r w:rsidR="00612F0D">
        <w:rPr>
          <w:rFonts w:ascii="Calibri" w:hAnsi="Calibri"/>
          <w:b w:val="0"/>
          <w:color w:val="auto"/>
          <w:sz w:val="22"/>
        </w:rPr>
        <w:t>, defined as engagement in</w:t>
      </w:r>
      <w:r w:rsidR="008D1D99">
        <w:rPr>
          <w:rFonts w:ascii="Calibri" w:hAnsi="Calibri"/>
          <w:b w:val="0"/>
          <w:color w:val="auto"/>
          <w:sz w:val="22"/>
        </w:rPr>
        <w:t xml:space="preserve"> school</w:t>
      </w:r>
      <w:r w:rsidR="00612F0D">
        <w:rPr>
          <w:rFonts w:ascii="Calibri" w:hAnsi="Calibri"/>
          <w:b w:val="0"/>
          <w:color w:val="auto"/>
          <w:sz w:val="22"/>
        </w:rPr>
        <w:t xml:space="preserve"> or</w:t>
      </w:r>
      <w:r w:rsidR="008D1D99">
        <w:rPr>
          <w:rFonts w:ascii="Calibri" w:hAnsi="Calibri"/>
          <w:b w:val="0"/>
          <w:color w:val="auto"/>
          <w:sz w:val="22"/>
        </w:rPr>
        <w:t xml:space="preserve"> work</w:t>
      </w:r>
      <w:r w:rsidR="00612F0D">
        <w:rPr>
          <w:rFonts w:ascii="Calibri" w:hAnsi="Calibri"/>
          <w:b w:val="0"/>
          <w:color w:val="auto"/>
          <w:sz w:val="22"/>
        </w:rPr>
        <w:t>,</w:t>
      </w:r>
      <w:r w:rsidR="008D1D99">
        <w:rPr>
          <w:rFonts w:ascii="Calibri" w:hAnsi="Calibri"/>
          <w:b w:val="0"/>
          <w:color w:val="auto"/>
          <w:sz w:val="22"/>
        </w:rPr>
        <w:t xml:space="preserve"> </w:t>
      </w:r>
      <w:r w:rsidR="00016FF8">
        <w:rPr>
          <w:rFonts w:ascii="Calibri" w:hAnsi="Calibri"/>
          <w:b w:val="0"/>
          <w:color w:val="auto"/>
          <w:sz w:val="22"/>
        </w:rPr>
        <w:t xml:space="preserve">over time up to </w:t>
      </w:r>
      <w:r w:rsidR="008D1D99">
        <w:rPr>
          <w:rFonts w:ascii="Calibri" w:hAnsi="Calibri"/>
          <w:b w:val="0"/>
          <w:color w:val="auto"/>
          <w:sz w:val="22"/>
        </w:rPr>
        <w:t xml:space="preserve">5 years following </w:t>
      </w:r>
      <w:bookmarkStart w:id="0" w:name="_Hlk23775400"/>
      <w:r w:rsidR="008D1D99">
        <w:rPr>
          <w:rFonts w:ascii="Calibri" w:hAnsi="Calibri"/>
          <w:b w:val="0"/>
          <w:color w:val="auto"/>
          <w:sz w:val="22"/>
        </w:rPr>
        <w:t>moderate-to-severe</w:t>
      </w:r>
      <w:bookmarkEnd w:id="0"/>
      <w:r w:rsidR="008D1D99">
        <w:rPr>
          <w:rFonts w:ascii="Calibri" w:hAnsi="Calibri"/>
          <w:b w:val="0"/>
          <w:color w:val="auto"/>
          <w:sz w:val="22"/>
        </w:rPr>
        <w:t xml:space="preserve"> traumatic brain injury (TBI). </w:t>
      </w:r>
      <w:r>
        <w:rPr>
          <w:rFonts w:ascii="Calibri" w:hAnsi="Calibri"/>
          <w:b w:val="0"/>
          <w:color w:val="auto"/>
          <w:sz w:val="22"/>
        </w:rPr>
        <w:t xml:space="preserve">    </w:t>
      </w:r>
    </w:p>
    <w:p w14:paraId="0A6FEBE6" w14:textId="0837BDAE" w:rsidR="001A558E" w:rsidRDefault="001A558E" w:rsidP="001A558E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What did the study find?</w:t>
      </w:r>
    </w:p>
    <w:p w14:paraId="649AB05E" w14:textId="62E6ECA5" w:rsidR="008D1D99" w:rsidRDefault="00A1328A" w:rsidP="00196C46">
      <w:pPr>
        <w:ind w:left="90"/>
      </w:pPr>
      <w:r>
        <w:t xml:space="preserve">This study found several factors </w:t>
      </w:r>
      <w:r w:rsidR="008D1D99">
        <w:t xml:space="preserve">associated with the likelihood of returning to work following a </w:t>
      </w:r>
      <w:r w:rsidR="008D1D99" w:rsidRPr="008D1D99">
        <w:t>moderate-to-severe</w:t>
      </w:r>
      <w:r w:rsidR="008D1D99">
        <w:t xml:space="preserve"> TBI, including: </w:t>
      </w:r>
      <w:r w:rsidR="008D1D99" w:rsidRPr="008D1D99">
        <w:t>age</w:t>
      </w:r>
      <w:r w:rsidR="008D1D99">
        <w:t xml:space="preserve"> </w:t>
      </w:r>
      <w:r w:rsidR="008D1D99" w:rsidRPr="008D1D99">
        <w:t>of</w:t>
      </w:r>
      <w:r w:rsidR="008D1D99">
        <w:t xml:space="preserve"> </w:t>
      </w:r>
      <w:r w:rsidR="008D1D99" w:rsidRPr="008D1D99">
        <w:t>injury,</w:t>
      </w:r>
      <w:r w:rsidR="008D1D99">
        <w:t xml:space="preserve"> </w:t>
      </w:r>
      <w:r w:rsidR="008D1D99" w:rsidRPr="008D1D99">
        <w:t>race,</w:t>
      </w:r>
      <w:r w:rsidR="008D1D99">
        <w:t xml:space="preserve"> </w:t>
      </w:r>
      <w:r w:rsidR="008D1D99" w:rsidRPr="008D1D99">
        <w:t>level</w:t>
      </w:r>
      <w:r w:rsidR="008D1D99">
        <w:t xml:space="preserve"> </w:t>
      </w:r>
      <w:r w:rsidR="008D1D99" w:rsidRPr="008D1D99">
        <w:t>of</w:t>
      </w:r>
      <w:r w:rsidR="008D1D99">
        <w:t xml:space="preserve"> </w:t>
      </w:r>
      <w:r w:rsidR="008D1D99" w:rsidRPr="008D1D99">
        <w:t>education</w:t>
      </w:r>
      <w:r w:rsidR="008D1D99">
        <w:t>,</w:t>
      </w:r>
      <w:r w:rsidR="008D1D99" w:rsidRPr="008D1D99">
        <w:t xml:space="preserve"> occupation at the time of injury, disability rating at hospital discharge, substance abuse, and rehabilitation length of sta</w:t>
      </w:r>
      <w:r w:rsidR="008D1D99">
        <w:t>y</w:t>
      </w:r>
      <w:r w:rsidR="000341AE">
        <w:t xml:space="preserve">. This study also found that the probability of returning to productivity increased over time, especially for younger individuals with moderate-to -severe TBI.    </w:t>
      </w:r>
    </w:p>
    <w:p w14:paraId="4D088AA8" w14:textId="44DEC734" w:rsidR="00615CAD" w:rsidRDefault="00615CAD" w:rsidP="000341AE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Who participated in the</w:t>
      </w:r>
      <w:r w:rsidR="00B725C0" w:rsidRPr="00CF62E5">
        <w:rPr>
          <w:rFonts w:ascii="Calibri" w:hAnsi="Calibri"/>
          <w:sz w:val="22"/>
        </w:rPr>
        <w:t xml:space="preserve"> study?</w:t>
      </w:r>
    </w:p>
    <w:p w14:paraId="318CEF22" w14:textId="1EF9F263" w:rsidR="00196C46" w:rsidRPr="00196C46" w:rsidRDefault="00196C46" w:rsidP="00196C46">
      <w:pPr>
        <w:ind w:left="90"/>
      </w:pPr>
      <w:r>
        <w:t>Individuals (n=</w:t>
      </w:r>
      <w:r w:rsidR="00BF6B53">
        <w:t>2542</w:t>
      </w:r>
      <w:r>
        <w:t>) enrolled in the Traumatic Brain Injury Model Systems National Database (TBIMS-NDB).</w:t>
      </w:r>
    </w:p>
    <w:p w14:paraId="5A791BB4" w14:textId="0E568BCD" w:rsidR="00615CAD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How was the study conducted?</w:t>
      </w:r>
    </w:p>
    <w:p w14:paraId="293E02B4" w14:textId="5CE62836" w:rsidR="00196C46" w:rsidRPr="00196C46" w:rsidRDefault="00196C46" w:rsidP="00BF6B53">
      <w:pPr>
        <w:ind w:left="90"/>
      </w:pPr>
      <w:r>
        <w:t xml:space="preserve">This study was a longitudinal observational study </w:t>
      </w:r>
      <w:r w:rsidR="00BF6B53">
        <w:t xml:space="preserve">that conducted follow-up interviews </w:t>
      </w:r>
      <w:r>
        <w:t xml:space="preserve">at 1,2, and 5 years </w:t>
      </w:r>
      <w:r w:rsidR="00BF6B53">
        <w:t>post injury</w:t>
      </w:r>
      <w:r w:rsidR="00695B2C"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6FB56112" w:rsidR="00C325DE" w:rsidRDefault="00196C46" w:rsidP="00075CB0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the </w:t>
      </w:r>
      <w:r w:rsidR="00075CB0">
        <w:rPr>
          <w:rFonts w:asciiTheme="minorHAnsi" w:hAnsiTheme="minorHAnsi"/>
          <w:b w:val="0"/>
          <w:color w:val="auto"/>
          <w:sz w:val="22"/>
          <w:szCs w:val="22"/>
        </w:rPr>
        <w:t>likelihood of returning to productivity after TBI</w:t>
      </w:r>
      <w:r w:rsidR="00016FF8">
        <w:rPr>
          <w:rFonts w:asciiTheme="minorHAnsi" w:hAnsiTheme="minorHAnsi"/>
          <w:b w:val="0"/>
          <w:color w:val="auto"/>
          <w:sz w:val="22"/>
          <w:szCs w:val="22"/>
        </w:rPr>
        <w:t xml:space="preserve"> among individuals in the TBIMS-NDB</w:t>
      </w:r>
      <w:r w:rsidR="00075CB0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7DDAC26A" w14:textId="5E0F5ABA" w:rsidR="00075CB0" w:rsidRDefault="00075CB0" w:rsidP="00F3013E">
      <w:pPr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proofErr w:type="spellStart"/>
      <w:r w:rsidRPr="00075CB0">
        <w:rPr>
          <w:rFonts w:ascii="Calibri" w:eastAsia="Calibri" w:hAnsi="Calibri" w:cs="Calibri"/>
        </w:rPr>
        <w:t>Pretz</w:t>
      </w:r>
      <w:proofErr w:type="spellEnd"/>
      <w:r w:rsidRPr="00075CB0">
        <w:rPr>
          <w:rFonts w:ascii="Calibri" w:eastAsia="Calibri" w:hAnsi="Calibri" w:cs="Calibri"/>
        </w:rPr>
        <w:t xml:space="preserve">, C., Kowalski, R. G., Cuthbert, J. P., </w:t>
      </w:r>
      <w:proofErr w:type="spellStart"/>
      <w:r w:rsidRPr="00075CB0">
        <w:rPr>
          <w:rFonts w:ascii="Calibri" w:eastAsia="Calibri" w:hAnsi="Calibri" w:cs="Calibri"/>
        </w:rPr>
        <w:t>Whiteneck</w:t>
      </w:r>
      <w:proofErr w:type="spellEnd"/>
      <w:r w:rsidRPr="00075CB0">
        <w:rPr>
          <w:rFonts w:ascii="Calibri" w:eastAsia="Calibri" w:hAnsi="Calibri" w:cs="Calibri"/>
        </w:rPr>
        <w:t>, G. G., Miller, A. C., Ketchum, J. M., &amp; Dams-</w:t>
      </w:r>
      <w:proofErr w:type="spellStart"/>
      <w:r w:rsidRPr="00075CB0">
        <w:rPr>
          <w:rFonts w:ascii="Calibri" w:eastAsia="Calibri" w:hAnsi="Calibri" w:cs="Calibri"/>
        </w:rPr>
        <w:t>Oʼconnor</w:t>
      </w:r>
      <w:proofErr w:type="spellEnd"/>
      <w:r w:rsidRPr="00075CB0">
        <w:rPr>
          <w:rFonts w:ascii="Calibri" w:eastAsia="Calibri" w:hAnsi="Calibri" w:cs="Calibri"/>
        </w:rPr>
        <w:t xml:space="preserve">, K. (2019). Return to Productivity Projections for Individuals </w:t>
      </w:r>
      <w:proofErr w:type="gramStart"/>
      <w:r w:rsidRPr="00075CB0">
        <w:rPr>
          <w:rFonts w:ascii="Calibri" w:eastAsia="Calibri" w:hAnsi="Calibri" w:cs="Calibri"/>
        </w:rPr>
        <w:t>With</w:t>
      </w:r>
      <w:proofErr w:type="gramEnd"/>
      <w:r w:rsidRPr="00075CB0">
        <w:rPr>
          <w:rFonts w:ascii="Calibri" w:eastAsia="Calibri" w:hAnsi="Calibri" w:cs="Calibri"/>
        </w:rPr>
        <w:t xml:space="preserve"> Moderate to Severe TBI Following Inpatient Rehabilitation. Journal of Head Trauma Rehabilitation, 1. </w:t>
      </w:r>
      <w:proofErr w:type="spellStart"/>
      <w:r w:rsidRPr="00075CB0">
        <w:rPr>
          <w:rFonts w:ascii="Calibri" w:eastAsia="Calibri" w:hAnsi="Calibri" w:cs="Calibri"/>
        </w:rPr>
        <w:t>doi</w:t>
      </w:r>
      <w:proofErr w:type="spellEnd"/>
      <w:r w:rsidRPr="00075CB0">
        <w:rPr>
          <w:rFonts w:ascii="Calibri" w:eastAsia="Calibri" w:hAnsi="Calibri" w:cs="Calibri"/>
        </w:rPr>
        <w:t>: 10.1097/htr.0000000000000506</w:t>
      </w:r>
    </w:p>
    <w:p w14:paraId="29B6E8C4" w14:textId="0F990ED5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4A071486" w:rsidR="002166DC" w:rsidRDefault="00AE5EFD" w:rsidP="0068344B">
      <w:pPr>
        <w:pStyle w:val="Background"/>
        <w:ind w:left="140"/>
        <w:jc w:val="left"/>
        <w:rPr>
          <w:color w:val="000000" w:themeColor="text1"/>
          <w:szCs w:val="18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p w14:paraId="0CAB3EA9" w14:textId="208F950A" w:rsidR="003D2C8E" w:rsidRPr="003D2C8E" w:rsidRDefault="003D2C8E" w:rsidP="003D2C8E">
      <w:pPr>
        <w:tabs>
          <w:tab w:val="left" w:pos="6387"/>
        </w:tabs>
      </w:pPr>
      <w:r>
        <w:tab/>
      </w:r>
    </w:p>
    <w:sectPr w:rsidR="003D2C8E" w:rsidRPr="003D2C8E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56CB" w14:textId="77777777" w:rsidR="00091DFC" w:rsidRDefault="00091DFC">
      <w:pPr>
        <w:spacing w:before="0" w:after="0" w:line="240" w:lineRule="auto"/>
      </w:pPr>
      <w:r>
        <w:separator/>
      </w:r>
    </w:p>
  </w:endnote>
  <w:endnote w:type="continuationSeparator" w:id="0">
    <w:p w14:paraId="5940AC46" w14:textId="77777777" w:rsidR="00091DFC" w:rsidRDefault="00091DFC">
      <w:pPr>
        <w:spacing w:before="0" w:after="0" w:line="240" w:lineRule="auto"/>
      </w:pPr>
      <w:r>
        <w:continuationSeparator/>
      </w:r>
    </w:p>
  </w:endnote>
  <w:endnote w:type="continuationNotice" w:id="1">
    <w:p w14:paraId="1019716C" w14:textId="77777777" w:rsidR="00091DFC" w:rsidRDefault="00091D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AB02019" w:rsidR="009154AD" w:rsidRPr="006C4AAA" w:rsidRDefault="003D2C8E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Pr="003D2C8E">
        <w:rPr>
          <w:rStyle w:val="Hyperlink"/>
          <w:rFonts w:ascii="Arial" w:hAnsi="Arial" w:cs="Arial"/>
          <w:sz w:val="20"/>
          <w:szCs w:val="20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D850" w14:textId="77777777" w:rsidR="00091DFC" w:rsidRPr="006C7FDE" w:rsidRDefault="00091DFC" w:rsidP="006C7FDE">
      <w:pPr>
        <w:pStyle w:val="Footer"/>
      </w:pPr>
    </w:p>
  </w:footnote>
  <w:footnote w:type="continuationSeparator" w:id="0">
    <w:p w14:paraId="784D7CFF" w14:textId="77777777" w:rsidR="00091DFC" w:rsidRPr="006C7FDE" w:rsidRDefault="00091DFC" w:rsidP="006C7FDE">
      <w:pPr>
        <w:pStyle w:val="Footer"/>
      </w:pPr>
    </w:p>
  </w:footnote>
  <w:footnote w:type="continuationNotice" w:id="1">
    <w:p w14:paraId="40E98969" w14:textId="77777777" w:rsidR="00091DFC" w:rsidRDefault="00091DF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16FF8"/>
    <w:rsid w:val="00031257"/>
    <w:rsid w:val="000341AE"/>
    <w:rsid w:val="00037045"/>
    <w:rsid w:val="00040F2A"/>
    <w:rsid w:val="0004123D"/>
    <w:rsid w:val="00057592"/>
    <w:rsid w:val="0007334C"/>
    <w:rsid w:val="00075CB0"/>
    <w:rsid w:val="00080047"/>
    <w:rsid w:val="00081422"/>
    <w:rsid w:val="00086102"/>
    <w:rsid w:val="00091DFC"/>
    <w:rsid w:val="000B055B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31662"/>
    <w:rsid w:val="00264ECC"/>
    <w:rsid w:val="0026577E"/>
    <w:rsid w:val="00267EE9"/>
    <w:rsid w:val="00270784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2C8E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C3A39"/>
    <w:rsid w:val="005D2332"/>
    <w:rsid w:val="005D4B0D"/>
    <w:rsid w:val="00602B69"/>
    <w:rsid w:val="00612F0D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95B2C"/>
    <w:rsid w:val="006A2D72"/>
    <w:rsid w:val="006C4AAA"/>
    <w:rsid w:val="006C7FDE"/>
    <w:rsid w:val="006D6CC9"/>
    <w:rsid w:val="006E1CAF"/>
    <w:rsid w:val="006E6158"/>
    <w:rsid w:val="006F15BE"/>
    <w:rsid w:val="00701296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1D99"/>
    <w:rsid w:val="008D6A74"/>
    <w:rsid w:val="008F1C67"/>
    <w:rsid w:val="008F230B"/>
    <w:rsid w:val="00914608"/>
    <w:rsid w:val="009154AD"/>
    <w:rsid w:val="00924F5E"/>
    <w:rsid w:val="00925EF3"/>
    <w:rsid w:val="009301D5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570FB"/>
    <w:rsid w:val="00A76007"/>
    <w:rsid w:val="00A82836"/>
    <w:rsid w:val="00A83B89"/>
    <w:rsid w:val="00A871C6"/>
    <w:rsid w:val="00A87F2A"/>
    <w:rsid w:val="00AA09C3"/>
    <w:rsid w:val="00AD5422"/>
    <w:rsid w:val="00AD689F"/>
    <w:rsid w:val="00AE5027"/>
    <w:rsid w:val="00AE5EFD"/>
    <w:rsid w:val="00B121F2"/>
    <w:rsid w:val="00B12754"/>
    <w:rsid w:val="00B329BC"/>
    <w:rsid w:val="00B3365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BF6B53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81849"/>
    <w:rsid w:val="00C84DC0"/>
    <w:rsid w:val="00C84F44"/>
    <w:rsid w:val="00C8695F"/>
    <w:rsid w:val="00CD2712"/>
    <w:rsid w:val="00CF62E5"/>
    <w:rsid w:val="00D01C47"/>
    <w:rsid w:val="00D17485"/>
    <w:rsid w:val="00D202B9"/>
    <w:rsid w:val="00D216F1"/>
    <w:rsid w:val="00D22F4B"/>
    <w:rsid w:val="00D268AC"/>
    <w:rsid w:val="00D41DF4"/>
    <w:rsid w:val="00D45567"/>
    <w:rsid w:val="00D559E9"/>
    <w:rsid w:val="00D61860"/>
    <w:rsid w:val="00D84037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2490F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C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E7B099-7879-410C-9DD5-21DD2E6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Bauman, Tracy</cp:lastModifiedBy>
  <cp:revision>4</cp:revision>
  <cp:lastPrinted>2019-06-11T14:07:00Z</cp:lastPrinted>
  <dcterms:created xsi:type="dcterms:W3CDTF">2020-08-05T15:32:00Z</dcterms:created>
  <dcterms:modified xsi:type="dcterms:W3CDTF">2021-06-24T13:18:00Z</dcterms:modified>
</cp:coreProperties>
</file>