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6A35B38A" w14:textId="2295003D" w:rsidR="00356AC4" w:rsidRPr="008425BA" w:rsidRDefault="00356AC4" w:rsidP="00356AC4">
      <w:pPr>
        <w:pStyle w:val="Heading3"/>
        <w:spacing w:before="360"/>
        <w:ind w:left="0"/>
        <w:rPr>
          <w:rFonts w:ascii="Arial" w:hAnsi="Arial"/>
          <w:color w:val="CA602C"/>
          <w:sz w:val="28"/>
          <w:szCs w:val="32"/>
          <w:vertAlign w:val="superscript"/>
        </w:rPr>
      </w:pPr>
      <w:r w:rsidRPr="00356AC4">
        <w:rPr>
          <w:rFonts w:ascii="Arial" w:hAnsi="Arial"/>
          <w:color w:val="CA602C"/>
          <w:sz w:val="28"/>
          <w:szCs w:val="32"/>
        </w:rPr>
        <w:t>Feasibility of a Kinect-based rehabilitation strategy</w:t>
      </w:r>
      <w:r>
        <w:rPr>
          <w:rFonts w:ascii="Arial" w:hAnsi="Arial"/>
          <w:color w:val="CA602C"/>
          <w:sz w:val="28"/>
          <w:szCs w:val="32"/>
        </w:rPr>
        <w:t xml:space="preserve"> </w:t>
      </w:r>
      <w:r w:rsidRPr="00356AC4">
        <w:rPr>
          <w:rFonts w:ascii="Arial" w:hAnsi="Arial"/>
          <w:color w:val="CA602C"/>
          <w:sz w:val="28"/>
          <w:szCs w:val="32"/>
        </w:rPr>
        <w:t>after burn injury</w:t>
      </w:r>
    </w:p>
    <w:p w14:paraId="52E59DE8" w14:textId="5CED6D51" w:rsidR="00615CAD" w:rsidRDefault="00615CAD" w:rsidP="00356AC4">
      <w:pPr>
        <w:pStyle w:val="Heading3"/>
        <w:spacing w:before="360"/>
        <w:ind w:left="0"/>
      </w:pPr>
      <w:r w:rsidRPr="00FA28FF">
        <w:t>What is</w:t>
      </w:r>
      <w:r w:rsidRPr="00615CAD">
        <w:t xml:space="preserve"> th</w:t>
      </w:r>
      <w:r w:rsidR="00B725C0">
        <w:t>e study about?</w:t>
      </w:r>
    </w:p>
    <w:p w14:paraId="1B879DE9" w14:textId="4AB0ADCA" w:rsidR="00141308" w:rsidRPr="00141308" w:rsidRDefault="00141308" w:rsidP="00141308">
      <w:r>
        <w:t xml:space="preserve">Interactive video games </w:t>
      </w:r>
      <w:r w:rsidR="00837227">
        <w:t xml:space="preserve">have the potential to play a positive role </w:t>
      </w:r>
      <w:bookmarkStart w:id="0" w:name="_Hlk1560363"/>
      <w:r w:rsidR="00837227">
        <w:t>in the rehabilitation of burn patients</w:t>
      </w:r>
      <w:bookmarkEnd w:id="0"/>
      <w:r w:rsidR="00837227">
        <w:t>. This study attempts to determine the feasibility</w:t>
      </w:r>
      <w:r w:rsidR="004008E8">
        <w:t xml:space="preserve"> of a set of </w:t>
      </w:r>
      <w:proofErr w:type="spellStart"/>
      <w:r w:rsidR="00837227">
        <w:t>Jintronix</w:t>
      </w:r>
      <w:proofErr w:type="spellEnd"/>
      <w:r w:rsidR="00837227">
        <w:t xml:space="preserve"> games, which combines therapy specific software and interactive gaming as a form of coaching for adult burn patients.     </w:t>
      </w:r>
    </w:p>
    <w:p w14:paraId="4E4FC810" w14:textId="77777777" w:rsidR="00CC4D84" w:rsidRDefault="00CC4D84" w:rsidP="00CC4D84">
      <w:pPr>
        <w:pStyle w:val="Heading3"/>
        <w:ind w:left="0"/>
      </w:pPr>
      <w:r w:rsidRPr="00FA28FF">
        <w:t>What did the study find?</w:t>
      </w:r>
    </w:p>
    <w:p w14:paraId="0893AB54" w14:textId="65E5EE40" w:rsidR="00CC4D84" w:rsidRDefault="00CC4D84" w:rsidP="00CC4D84">
      <w:r>
        <w:t xml:space="preserve">The </w:t>
      </w:r>
      <w:proofErr w:type="spellStart"/>
      <w:r>
        <w:t>Jintronix</w:t>
      </w:r>
      <w:proofErr w:type="spellEnd"/>
      <w:r>
        <w:t xml:space="preserve"> software has the potential to assist burn patients with rehabilitation. The software demonstrated </w:t>
      </w:r>
      <w:r w:rsidRPr="002E2EF9">
        <w:t>an acceptable level of safety</w:t>
      </w:r>
      <w:r>
        <w:t xml:space="preserve"> in the inpatient setting. Moreover, participants responded to the software positively, reporting improved strength, range of motion, and that the activities were fun and easy to use. This study has also laid the groundwork for a potential randomized control trial that would validate the </w:t>
      </w:r>
      <w:proofErr w:type="spellStart"/>
      <w:r>
        <w:t>Jintronix</w:t>
      </w:r>
      <w:proofErr w:type="spellEnd"/>
      <w:r>
        <w:t xml:space="preserve"> software in a home environment.  </w:t>
      </w:r>
      <w:bookmarkStart w:id="1" w:name="_GoBack"/>
      <w:bookmarkEnd w:id="1"/>
    </w:p>
    <w:p w14:paraId="4D088AA8" w14:textId="7707FD77" w:rsidR="00615CAD" w:rsidRDefault="00615CAD" w:rsidP="00B74623">
      <w:pPr>
        <w:pStyle w:val="Heading3"/>
        <w:ind w:left="0"/>
      </w:pPr>
      <w:r w:rsidRPr="000B1BE7">
        <w:t>Who participated in the</w:t>
      </w:r>
      <w:r w:rsidR="00B725C0" w:rsidRPr="000B1BE7">
        <w:t xml:space="preserve"> study?</w:t>
      </w:r>
    </w:p>
    <w:p w14:paraId="3ABE9E37" w14:textId="1A8AE67E" w:rsidR="00837227" w:rsidRPr="00837227" w:rsidRDefault="004008E8" w:rsidP="00837227">
      <w:r>
        <w:t xml:space="preserve">Twenty </w:t>
      </w:r>
      <w:r w:rsidRPr="004008E8">
        <w:t xml:space="preserve">adult burn patients </w:t>
      </w:r>
      <w:r>
        <w:t>were recruited for this study.  Burn size did not affect eligibility for inclusion.</w:t>
      </w:r>
      <w:r w:rsidR="008425BA">
        <w:t xml:space="preserve"> Participants were recruited from a single regional burn center between August and November 2016.  </w:t>
      </w:r>
      <w:r>
        <w:t xml:space="preserve">  </w:t>
      </w:r>
    </w:p>
    <w:p w14:paraId="5A791BB4" w14:textId="606FC092" w:rsidR="00615CAD" w:rsidRDefault="00615CAD" w:rsidP="00B74623">
      <w:pPr>
        <w:pStyle w:val="Heading3"/>
        <w:ind w:left="0"/>
      </w:pPr>
      <w:r w:rsidRPr="00FA28FF">
        <w:t>How was the study conducted?</w:t>
      </w:r>
    </w:p>
    <w:p w14:paraId="3A3B8538" w14:textId="1DCBFABE" w:rsidR="008425BA" w:rsidRPr="008425BA" w:rsidRDefault="008425BA" w:rsidP="008425BA">
      <w:r>
        <w:t xml:space="preserve">Participants were asked to complete six interactive modules and one functional assessment. Each module was tailored to the burn site(s) of the participants involved.  After each session, participants were asked to provide feedback through a survey. A content analysis was then used to identify patterns across participant responses. </w:t>
      </w:r>
    </w:p>
    <w:bookmarkStart w:id="2" w:name="_Hlk12437203"/>
    <w:p w14:paraId="229AF97E" w14:textId="77777777" w:rsidR="00CC4D84" w:rsidRPr="003574A9" w:rsidRDefault="008D2C58" w:rsidP="00CC4D84">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w:instrText>
      </w:r>
      <w:r>
        <w:instrText xml:space="preserve">be who could use the results and how. Could be patient, doctor, administration, centers. Should make sense given findings and study design. Do not overreach." </w:instrText>
      </w:r>
      <w:r>
        <w:fldChar w:fldCharType="separate"/>
      </w:r>
      <w:r w:rsidR="00CC4D84" w:rsidRPr="003574A9">
        <w:t>How can people use the results?</w:t>
      </w:r>
      <w:r>
        <w:fldChar w:fldCharType="end"/>
      </w:r>
    </w:p>
    <w:bookmarkEnd w:id="2"/>
    <w:p w14:paraId="42A3F053" w14:textId="3F7B29B7" w:rsidR="00CC4D84" w:rsidRDefault="00CC4D84" w:rsidP="00F4413B">
      <w:r>
        <w:t xml:space="preserve">Practitioners and burn patients can use these results to help inform </w:t>
      </w:r>
      <w:r w:rsidR="00C67ECA">
        <w:t xml:space="preserve">decisions around making </w:t>
      </w:r>
      <w:r w:rsidRPr="00CC4D84">
        <w:t>therapy specific</w:t>
      </w:r>
      <w:r>
        <w:t xml:space="preserve"> game</w:t>
      </w:r>
      <w:r w:rsidRPr="00CC4D84">
        <w:t xml:space="preserve"> </w:t>
      </w:r>
      <w:r w:rsidR="00C67ECA">
        <w:t>software part of</w:t>
      </w:r>
      <w:r>
        <w:t xml:space="preserve"> rehabilitation</w:t>
      </w:r>
      <w:r w:rsidR="00C67ECA">
        <w:t>.</w:t>
      </w:r>
    </w:p>
    <w:p w14:paraId="69B2875C" w14:textId="28082F04" w:rsidR="00CC4D84" w:rsidRDefault="0001203C" w:rsidP="0001203C">
      <w:pPr>
        <w:pStyle w:val="Heading3"/>
        <w:ind w:left="0"/>
      </w:pPr>
      <w:hyperlink r:id="rId11" w:anchor="Note" w:tooltip="Describe who could use the results and how. Could be patient, doctor, administration, centers. Should make sense given findings and study design. Do not overreach." w:history="1">
        <w:r>
          <w:t>Reference</w:t>
        </w:r>
      </w:hyperlink>
    </w:p>
    <w:p w14:paraId="7946720F" w14:textId="41A2EE19" w:rsidR="0028556A" w:rsidRPr="00524D9D" w:rsidRDefault="00524D9D" w:rsidP="00F4413B">
      <w:pPr>
        <w:rPr>
          <w:vertAlign w:val="superscript"/>
        </w:rPr>
      </w:pPr>
      <w:r w:rsidRPr="00524D9D">
        <w:t xml:space="preserve">Pham, T. N., Wong, J. N., </w:t>
      </w:r>
      <w:proofErr w:type="spellStart"/>
      <w:r w:rsidRPr="00524D9D">
        <w:t>Terken</w:t>
      </w:r>
      <w:proofErr w:type="spellEnd"/>
      <w:r w:rsidRPr="00524D9D">
        <w:t xml:space="preserve">, T., Gibran, N. S., Carrougher, G. J., &amp; Bunnell, A. (2018). Feasibility of a Kinect®-based rehabilitation strategy after burn injury. Burns, 44(8), 2080-2086. </w:t>
      </w:r>
      <w:proofErr w:type="gramStart"/>
      <w:r w:rsidRPr="00524D9D">
        <w:t>doi:10.1016/j.burns</w:t>
      </w:r>
      <w:proofErr w:type="gramEnd"/>
      <w:r w:rsidRPr="00524D9D">
        <w:t>.2018.08.032</w:t>
      </w:r>
      <w:r>
        <w:t xml:space="preserve">. Retrieved from </w:t>
      </w:r>
      <w:hyperlink r:id="rId12" w:history="1">
        <w:r w:rsidRPr="00931004">
          <w:rPr>
            <w:rStyle w:val="Hyperlink"/>
          </w:rPr>
          <w:t>https://www.ncbi.nlm.nih.gov/pubmed/30241787</w:t>
        </w:r>
      </w:hyperlink>
      <w:r>
        <w:t xml:space="preserve"> </w:t>
      </w:r>
    </w:p>
    <w:p w14:paraId="6E568687" w14:textId="471C3BC7" w:rsidR="0001203C" w:rsidRPr="0001203C" w:rsidRDefault="0001203C" w:rsidP="0001203C">
      <w:pPr>
        <w:pStyle w:val="Heading3"/>
        <w:ind w:left="0"/>
      </w:pPr>
      <w:r>
        <w:t>Disclaimer</w:t>
      </w:r>
    </w:p>
    <w:p w14:paraId="7DC7CD14" w14:textId="22D55CD1"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C9A2" w14:textId="77777777" w:rsidR="008D2C58" w:rsidRDefault="008D2C58">
      <w:pPr>
        <w:spacing w:before="0" w:after="0" w:line="240" w:lineRule="auto"/>
      </w:pPr>
      <w:r>
        <w:separator/>
      </w:r>
    </w:p>
  </w:endnote>
  <w:endnote w:type="continuationSeparator" w:id="0">
    <w:p w14:paraId="640EF058" w14:textId="77777777" w:rsidR="008D2C58" w:rsidRDefault="008D2C58">
      <w:pPr>
        <w:spacing w:before="0" w:after="0" w:line="240" w:lineRule="auto"/>
      </w:pPr>
      <w:r>
        <w:continuationSeparator/>
      </w:r>
    </w:p>
  </w:endnote>
  <w:endnote w:type="continuationNotice" w:id="1">
    <w:p w14:paraId="7885647F" w14:textId="77777777" w:rsidR="008D2C58" w:rsidRDefault="008D2C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8D2C58"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33CA" w14:textId="77777777" w:rsidR="008D2C58" w:rsidRPr="006C7FDE" w:rsidRDefault="008D2C58" w:rsidP="006C7FDE">
      <w:pPr>
        <w:pStyle w:val="Footer"/>
      </w:pPr>
    </w:p>
  </w:footnote>
  <w:footnote w:type="continuationSeparator" w:id="0">
    <w:p w14:paraId="2F34DA29" w14:textId="77777777" w:rsidR="008D2C58" w:rsidRPr="006C7FDE" w:rsidRDefault="008D2C58" w:rsidP="006C7FDE">
      <w:pPr>
        <w:pStyle w:val="Footer"/>
      </w:pPr>
    </w:p>
  </w:footnote>
  <w:footnote w:type="continuationNotice" w:id="1">
    <w:p w14:paraId="7C1DC605" w14:textId="77777777" w:rsidR="008D2C58" w:rsidRDefault="008D2C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03C"/>
    <w:rsid w:val="00012BD6"/>
    <w:rsid w:val="00020BB6"/>
    <w:rsid w:val="0003480A"/>
    <w:rsid w:val="00040C12"/>
    <w:rsid w:val="00040F2A"/>
    <w:rsid w:val="0004123D"/>
    <w:rsid w:val="00057592"/>
    <w:rsid w:val="0007334C"/>
    <w:rsid w:val="0007540E"/>
    <w:rsid w:val="00080047"/>
    <w:rsid w:val="000B1BE7"/>
    <w:rsid w:val="000B5474"/>
    <w:rsid w:val="000C63F6"/>
    <w:rsid w:val="00101253"/>
    <w:rsid w:val="00105E82"/>
    <w:rsid w:val="00113EDB"/>
    <w:rsid w:val="00117A90"/>
    <w:rsid w:val="001268A0"/>
    <w:rsid w:val="001273C6"/>
    <w:rsid w:val="00127E75"/>
    <w:rsid w:val="0013233C"/>
    <w:rsid w:val="001337EF"/>
    <w:rsid w:val="00141308"/>
    <w:rsid w:val="00147988"/>
    <w:rsid w:val="00154DC8"/>
    <w:rsid w:val="00157858"/>
    <w:rsid w:val="00161014"/>
    <w:rsid w:val="001725AA"/>
    <w:rsid w:val="00183D6A"/>
    <w:rsid w:val="001B4D9E"/>
    <w:rsid w:val="001D2DE7"/>
    <w:rsid w:val="001E236C"/>
    <w:rsid w:val="001F5587"/>
    <w:rsid w:val="001F6F7A"/>
    <w:rsid w:val="0022148E"/>
    <w:rsid w:val="00222B98"/>
    <w:rsid w:val="002354F0"/>
    <w:rsid w:val="00254C38"/>
    <w:rsid w:val="00264ECC"/>
    <w:rsid w:val="00265393"/>
    <w:rsid w:val="00265ED2"/>
    <w:rsid w:val="00270784"/>
    <w:rsid w:val="002730BC"/>
    <w:rsid w:val="0028556A"/>
    <w:rsid w:val="002A5E48"/>
    <w:rsid w:val="002A7453"/>
    <w:rsid w:val="002B097A"/>
    <w:rsid w:val="002D38CA"/>
    <w:rsid w:val="002D4BE0"/>
    <w:rsid w:val="002D67D3"/>
    <w:rsid w:val="002E2116"/>
    <w:rsid w:val="002E2EF9"/>
    <w:rsid w:val="002E3CBE"/>
    <w:rsid w:val="002E5577"/>
    <w:rsid w:val="00317B84"/>
    <w:rsid w:val="00321A6B"/>
    <w:rsid w:val="00322FCA"/>
    <w:rsid w:val="00333107"/>
    <w:rsid w:val="00344C18"/>
    <w:rsid w:val="00346CD8"/>
    <w:rsid w:val="00356AC4"/>
    <w:rsid w:val="00380DCF"/>
    <w:rsid w:val="003812EA"/>
    <w:rsid w:val="00387B3F"/>
    <w:rsid w:val="003A439F"/>
    <w:rsid w:val="003D451D"/>
    <w:rsid w:val="004008E8"/>
    <w:rsid w:val="00420213"/>
    <w:rsid w:val="00423930"/>
    <w:rsid w:val="0043355B"/>
    <w:rsid w:val="00435E44"/>
    <w:rsid w:val="00436B55"/>
    <w:rsid w:val="00445D1A"/>
    <w:rsid w:val="004663F7"/>
    <w:rsid w:val="004709C0"/>
    <w:rsid w:val="00481C3B"/>
    <w:rsid w:val="0048389B"/>
    <w:rsid w:val="00486F57"/>
    <w:rsid w:val="004B3B8B"/>
    <w:rsid w:val="004B4346"/>
    <w:rsid w:val="004B53C9"/>
    <w:rsid w:val="004B71D3"/>
    <w:rsid w:val="004C59F0"/>
    <w:rsid w:val="004C6036"/>
    <w:rsid w:val="004F7772"/>
    <w:rsid w:val="00507EE6"/>
    <w:rsid w:val="00522108"/>
    <w:rsid w:val="00524D9D"/>
    <w:rsid w:val="00525A6A"/>
    <w:rsid w:val="00542C59"/>
    <w:rsid w:val="005439A8"/>
    <w:rsid w:val="0055447C"/>
    <w:rsid w:val="00557B58"/>
    <w:rsid w:val="0056740C"/>
    <w:rsid w:val="00584DAB"/>
    <w:rsid w:val="005C3438"/>
    <w:rsid w:val="005D2332"/>
    <w:rsid w:val="005D67DD"/>
    <w:rsid w:val="005E4EE1"/>
    <w:rsid w:val="00611B8D"/>
    <w:rsid w:val="00615CAD"/>
    <w:rsid w:val="00631A0A"/>
    <w:rsid w:val="0064519B"/>
    <w:rsid w:val="00655180"/>
    <w:rsid w:val="0066558D"/>
    <w:rsid w:val="00673FEA"/>
    <w:rsid w:val="00675B32"/>
    <w:rsid w:val="006C7FDE"/>
    <w:rsid w:val="006E1CAF"/>
    <w:rsid w:val="006E6158"/>
    <w:rsid w:val="006F7D09"/>
    <w:rsid w:val="007034C5"/>
    <w:rsid w:val="00711468"/>
    <w:rsid w:val="007126B2"/>
    <w:rsid w:val="00726246"/>
    <w:rsid w:val="00736FCA"/>
    <w:rsid w:val="007462F3"/>
    <w:rsid w:val="00777305"/>
    <w:rsid w:val="00785CE7"/>
    <w:rsid w:val="00793240"/>
    <w:rsid w:val="007B17CB"/>
    <w:rsid w:val="007B64E2"/>
    <w:rsid w:val="007C364A"/>
    <w:rsid w:val="007C71D6"/>
    <w:rsid w:val="007E1081"/>
    <w:rsid w:val="007E6A41"/>
    <w:rsid w:val="008034F6"/>
    <w:rsid w:val="00835888"/>
    <w:rsid w:val="00837227"/>
    <w:rsid w:val="008425BA"/>
    <w:rsid w:val="0084779C"/>
    <w:rsid w:val="008567C5"/>
    <w:rsid w:val="00861210"/>
    <w:rsid w:val="00862E17"/>
    <w:rsid w:val="00864AFC"/>
    <w:rsid w:val="008D2C58"/>
    <w:rsid w:val="008D6A74"/>
    <w:rsid w:val="008E1871"/>
    <w:rsid w:val="008E4513"/>
    <w:rsid w:val="008F1C67"/>
    <w:rsid w:val="008F230B"/>
    <w:rsid w:val="008F52C9"/>
    <w:rsid w:val="00914608"/>
    <w:rsid w:val="009154AD"/>
    <w:rsid w:val="009161F5"/>
    <w:rsid w:val="009216E0"/>
    <w:rsid w:val="00925EF3"/>
    <w:rsid w:val="009270E2"/>
    <w:rsid w:val="00931326"/>
    <w:rsid w:val="0093330A"/>
    <w:rsid w:val="0093353B"/>
    <w:rsid w:val="0097551C"/>
    <w:rsid w:val="0098165F"/>
    <w:rsid w:val="00984090"/>
    <w:rsid w:val="009D05E2"/>
    <w:rsid w:val="009D6CB7"/>
    <w:rsid w:val="009F7207"/>
    <w:rsid w:val="00A03474"/>
    <w:rsid w:val="00A138CB"/>
    <w:rsid w:val="00A34025"/>
    <w:rsid w:val="00A3453C"/>
    <w:rsid w:val="00A505BB"/>
    <w:rsid w:val="00A5074D"/>
    <w:rsid w:val="00A570FB"/>
    <w:rsid w:val="00A73FA1"/>
    <w:rsid w:val="00A76007"/>
    <w:rsid w:val="00A83B89"/>
    <w:rsid w:val="00AA1093"/>
    <w:rsid w:val="00AB3647"/>
    <w:rsid w:val="00AB56C4"/>
    <w:rsid w:val="00AC0EF0"/>
    <w:rsid w:val="00AD689F"/>
    <w:rsid w:val="00AE5027"/>
    <w:rsid w:val="00B15D01"/>
    <w:rsid w:val="00B329BC"/>
    <w:rsid w:val="00B5367C"/>
    <w:rsid w:val="00B5526D"/>
    <w:rsid w:val="00B711C2"/>
    <w:rsid w:val="00B725C0"/>
    <w:rsid w:val="00B74623"/>
    <w:rsid w:val="00B7633C"/>
    <w:rsid w:val="00B80033"/>
    <w:rsid w:val="00B803C6"/>
    <w:rsid w:val="00B90539"/>
    <w:rsid w:val="00B9788A"/>
    <w:rsid w:val="00BA191F"/>
    <w:rsid w:val="00BC6137"/>
    <w:rsid w:val="00BD51FF"/>
    <w:rsid w:val="00C22DFC"/>
    <w:rsid w:val="00C235C4"/>
    <w:rsid w:val="00C30ED8"/>
    <w:rsid w:val="00C467E9"/>
    <w:rsid w:val="00C52204"/>
    <w:rsid w:val="00C53CD9"/>
    <w:rsid w:val="00C60D9C"/>
    <w:rsid w:val="00C64EAE"/>
    <w:rsid w:val="00C67ECA"/>
    <w:rsid w:val="00C81849"/>
    <w:rsid w:val="00C84DC0"/>
    <w:rsid w:val="00C86850"/>
    <w:rsid w:val="00C8695F"/>
    <w:rsid w:val="00C93CC2"/>
    <w:rsid w:val="00CA5E1C"/>
    <w:rsid w:val="00CB236F"/>
    <w:rsid w:val="00CC4D84"/>
    <w:rsid w:val="00CD2712"/>
    <w:rsid w:val="00CE5C15"/>
    <w:rsid w:val="00CE79D5"/>
    <w:rsid w:val="00CF0DCD"/>
    <w:rsid w:val="00CF74D8"/>
    <w:rsid w:val="00D055C4"/>
    <w:rsid w:val="00D0785A"/>
    <w:rsid w:val="00D1699C"/>
    <w:rsid w:val="00D202B9"/>
    <w:rsid w:val="00D216F1"/>
    <w:rsid w:val="00D22F4B"/>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314"/>
    <w:rsid w:val="00E9057C"/>
    <w:rsid w:val="00E95262"/>
    <w:rsid w:val="00EA2AAD"/>
    <w:rsid w:val="00EE2165"/>
    <w:rsid w:val="00EF4837"/>
    <w:rsid w:val="00EF53AC"/>
    <w:rsid w:val="00F04BE5"/>
    <w:rsid w:val="00F103AB"/>
    <w:rsid w:val="00F15167"/>
    <w:rsid w:val="00F17CEE"/>
    <w:rsid w:val="00F23D48"/>
    <w:rsid w:val="00F25A14"/>
    <w:rsid w:val="00F4413B"/>
    <w:rsid w:val="00F57594"/>
    <w:rsid w:val="00F643BA"/>
    <w:rsid w:val="00F76745"/>
    <w:rsid w:val="00F831BD"/>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302417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17E182-9123-437D-AFAF-5419428C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2019-06-26T15:28:00Z</dcterms:created>
  <dcterms:modified xsi:type="dcterms:W3CDTF">2019-06-26T15:28:00Z</dcterms:modified>
</cp:coreProperties>
</file>