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37654D08" w14:textId="1BE1BC9B" w:rsidR="003F2E49" w:rsidRDefault="003F2E49" w:rsidP="00C74932">
      <w:pPr>
        <w:pStyle w:val="Heading3"/>
        <w:spacing w:before="360"/>
        <w:ind w:left="0"/>
        <w:rPr>
          <w:rFonts w:ascii="Arial" w:hAnsi="Arial"/>
          <w:color w:val="CA602C"/>
          <w:sz w:val="28"/>
          <w:szCs w:val="32"/>
        </w:rPr>
      </w:pPr>
      <w:r w:rsidRPr="003F2E49">
        <w:rPr>
          <w:rFonts w:ascii="Arial" w:hAnsi="Arial"/>
          <w:color w:val="CA602C"/>
          <w:sz w:val="28"/>
          <w:szCs w:val="32"/>
        </w:rPr>
        <w:t>Prevalence of Medical and Psychiatric</w:t>
      </w:r>
      <w:r>
        <w:rPr>
          <w:rFonts w:ascii="Arial" w:hAnsi="Arial"/>
          <w:color w:val="CA602C"/>
          <w:sz w:val="28"/>
          <w:szCs w:val="32"/>
        </w:rPr>
        <w:t xml:space="preserve"> </w:t>
      </w:r>
      <w:r w:rsidRPr="003F2E49">
        <w:rPr>
          <w:rFonts w:ascii="Arial" w:hAnsi="Arial"/>
          <w:color w:val="CA602C"/>
          <w:sz w:val="28"/>
          <w:szCs w:val="32"/>
        </w:rPr>
        <w:t>Comorbidities Following Traumatic</w:t>
      </w:r>
      <w:r w:rsidR="00F51AB6">
        <w:rPr>
          <w:rFonts w:ascii="Arial" w:hAnsi="Arial"/>
          <w:color w:val="CA602C"/>
          <w:sz w:val="28"/>
          <w:szCs w:val="32"/>
        </w:rPr>
        <w:t xml:space="preserve"> </w:t>
      </w:r>
      <w:r w:rsidRPr="003F2E49">
        <w:rPr>
          <w:rFonts w:ascii="Arial" w:hAnsi="Arial"/>
          <w:color w:val="CA602C"/>
          <w:sz w:val="28"/>
          <w:szCs w:val="32"/>
        </w:rPr>
        <w:t>Brain Injury</w:t>
      </w:r>
    </w:p>
    <w:p w14:paraId="52E59DE8" w14:textId="0C960FDD" w:rsidR="00615CAD" w:rsidRDefault="00615CAD" w:rsidP="003F2E49">
      <w:pPr>
        <w:pStyle w:val="Heading3"/>
        <w:spacing w:before="360"/>
        <w:ind w:left="0"/>
      </w:pPr>
      <w:r w:rsidRPr="00FA28FF">
        <w:t>What is</w:t>
      </w:r>
      <w:r w:rsidRPr="00615CAD">
        <w:t xml:space="preserve"> th</w:t>
      </w:r>
      <w:r w:rsidR="00B725C0">
        <w:t>e study about?</w:t>
      </w:r>
    </w:p>
    <w:p w14:paraId="5E0779CC" w14:textId="1020CD15" w:rsidR="00590596" w:rsidRDefault="00F51AB6" w:rsidP="00590596">
      <w:r>
        <w:t>There is evidence that individuals with traumatic brain injuries (TBI) are at a higher risk for chronic health problems. The aim of this study was to investigate the occurrence of both medical and psychiatric comorbidities</w:t>
      </w:r>
      <w:r w:rsidR="00590596">
        <w:t xml:space="preserve"> that appeared before and up to </w:t>
      </w:r>
      <w:r w:rsidR="00590596" w:rsidRPr="00590596">
        <w:t>10 years following TBI requiring acute rehabilitation</w:t>
      </w:r>
      <w:r w:rsidR="00590596">
        <w:t>.</w:t>
      </w:r>
      <w:r>
        <w:t xml:space="preserve">  </w:t>
      </w:r>
    </w:p>
    <w:p w14:paraId="1FD8C6C8" w14:textId="190B1B3A" w:rsidR="00D32E30" w:rsidRDefault="00D32E30" w:rsidP="00D32E30">
      <w:pPr>
        <w:pStyle w:val="Heading3"/>
        <w:ind w:left="0"/>
      </w:pPr>
      <w:r w:rsidRPr="00FA28FF">
        <w:t>What did the study find?</w:t>
      </w:r>
    </w:p>
    <w:p w14:paraId="786754C5" w14:textId="4372FBDD" w:rsidR="00AA5CE2" w:rsidRPr="00C74932" w:rsidRDefault="00C74932" w:rsidP="00C74932">
      <w:r w:rsidRPr="00C74932">
        <w:t>This study found that the most common comorbidities 10 years post injury were back pain, depression, hypertension, anxiety, fractures, high blood cholesterol, sleep disorders, panic attacks, osteoarthritis, and diabetes. Comorbidities such as cholesterol, osteoarthritis, and hypertension were significantly more common in the older cohort</w:t>
      </w:r>
      <w:r w:rsidR="00AA5CE2">
        <w:t xml:space="preserve"> (</w:t>
      </w:r>
      <w:r w:rsidR="00AA5CE2" w:rsidRPr="00AA5CE2">
        <w:t>10-year follow-up at the age of 50</w:t>
      </w:r>
      <w:r w:rsidR="00AA5CE2">
        <w:t xml:space="preserve"> or older)</w:t>
      </w:r>
      <w:r w:rsidRPr="00C74932">
        <w:t>, whereas panic attacks were significantly more common in the younger cohort</w:t>
      </w:r>
      <w:r w:rsidR="00AA5CE2">
        <w:t xml:space="preserve"> </w:t>
      </w:r>
      <w:r w:rsidR="00AA5CE2" w:rsidRPr="00AA5CE2">
        <w:t>(10-year follow-up before the age of 50)</w:t>
      </w:r>
      <w:r w:rsidRPr="00C74932">
        <w:t xml:space="preserve">. </w:t>
      </w:r>
      <w:r>
        <w:t>N</w:t>
      </w:r>
      <w:r w:rsidRPr="00C74932">
        <w:t>o significant differences were found between</w:t>
      </w:r>
      <w:r>
        <w:t xml:space="preserve"> the</w:t>
      </w:r>
      <w:r w:rsidRPr="00C74932">
        <w:t xml:space="preserve"> two cohorts for back pain, depression, anxiety, fractures, and sleep disorders.</w:t>
      </w:r>
    </w:p>
    <w:p w14:paraId="4D088AA8" w14:textId="47450C99" w:rsidR="00615CAD" w:rsidRDefault="00615CAD" w:rsidP="00B74623">
      <w:pPr>
        <w:pStyle w:val="Heading3"/>
        <w:ind w:left="0"/>
      </w:pPr>
      <w:r w:rsidRPr="000B1BE7">
        <w:t>Who participated in the</w:t>
      </w:r>
      <w:r w:rsidR="00B725C0" w:rsidRPr="000B1BE7">
        <w:t xml:space="preserve"> study?</w:t>
      </w:r>
    </w:p>
    <w:p w14:paraId="1BAB9864" w14:textId="390A3DC9" w:rsidR="00AA5CE2" w:rsidRPr="00EE2C3F" w:rsidRDefault="00AA5CE2" w:rsidP="00B74623">
      <w:pPr>
        <w:pStyle w:val="Heading3"/>
        <w:ind w:left="0"/>
        <w:rPr>
          <w:rFonts w:asciiTheme="minorHAnsi" w:hAnsiTheme="minorHAnsi"/>
          <w:b w:val="0"/>
          <w:color w:val="auto"/>
          <w:sz w:val="22"/>
          <w:szCs w:val="22"/>
        </w:rPr>
      </w:pPr>
      <w:r w:rsidRPr="00AA5CE2">
        <w:rPr>
          <w:rFonts w:asciiTheme="minorHAnsi" w:hAnsiTheme="minorHAnsi"/>
          <w:b w:val="0"/>
          <w:color w:val="auto"/>
          <w:sz w:val="22"/>
          <w:szCs w:val="22"/>
        </w:rPr>
        <w:t xml:space="preserve">Participants included </w:t>
      </w:r>
      <w:r w:rsidR="00055EB4">
        <w:rPr>
          <w:rFonts w:asciiTheme="minorHAnsi" w:hAnsiTheme="minorHAnsi"/>
          <w:b w:val="0"/>
          <w:color w:val="auto"/>
          <w:sz w:val="22"/>
          <w:szCs w:val="22"/>
        </w:rPr>
        <w:t xml:space="preserve">404 </w:t>
      </w:r>
      <w:r w:rsidRPr="00AA5CE2">
        <w:rPr>
          <w:rFonts w:asciiTheme="minorHAnsi" w:hAnsiTheme="minorHAnsi"/>
          <w:b w:val="0"/>
          <w:color w:val="auto"/>
          <w:sz w:val="22"/>
          <w:szCs w:val="22"/>
        </w:rPr>
        <w:t xml:space="preserve">individuals within the </w:t>
      </w:r>
      <w:r w:rsidR="00055EB4">
        <w:rPr>
          <w:rFonts w:asciiTheme="minorHAnsi" w:hAnsiTheme="minorHAnsi"/>
          <w:b w:val="0"/>
          <w:color w:val="auto"/>
          <w:sz w:val="22"/>
          <w:szCs w:val="22"/>
        </w:rPr>
        <w:t xml:space="preserve">TBI Model Systems </w:t>
      </w:r>
      <w:r w:rsidRPr="00AA5CE2">
        <w:rPr>
          <w:rFonts w:asciiTheme="minorHAnsi" w:hAnsiTheme="minorHAnsi"/>
          <w:b w:val="0"/>
          <w:color w:val="auto"/>
          <w:sz w:val="22"/>
          <w:szCs w:val="22"/>
        </w:rPr>
        <w:t>National Database</w:t>
      </w:r>
      <w:r w:rsidR="00055EB4">
        <w:rPr>
          <w:rFonts w:asciiTheme="minorHAnsi" w:hAnsiTheme="minorHAnsi"/>
          <w:b w:val="0"/>
          <w:color w:val="auto"/>
          <w:sz w:val="22"/>
          <w:szCs w:val="22"/>
        </w:rPr>
        <w:t xml:space="preserve">. All participants experienced TBI 10 years prior </w:t>
      </w:r>
      <w:r w:rsidR="00EE2C3F">
        <w:rPr>
          <w:rFonts w:asciiTheme="minorHAnsi" w:hAnsiTheme="minorHAnsi"/>
          <w:b w:val="0"/>
          <w:color w:val="auto"/>
          <w:sz w:val="22"/>
          <w:szCs w:val="22"/>
        </w:rPr>
        <w:t xml:space="preserve">to the study. </w:t>
      </w:r>
      <w:r w:rsidRPr="00AA5CE2">
        <w:rPr>
          <w:rFonts w:asciiTheme="minorHAnsi" w:hAnsiTheme="minorHAnsi"/>
          <w:b w:val="0"/>
          <w:color w:val="auto"/>
          <w:sz w:val="22"/>
          <w:szCs w:val="22"/>
        </w:rPr>
        <w:t xml:space="preserve"> </w:t>
      </w:r>
    </w:p>
    <w:p w14:paraId="5A791BB4" w14:textId="5528DCCD" w:rsidR="00615CAD" w:rsidRDefault="00615CAD" w:rsidP="00B74623">
      <w:pPr>
        <w:pStyle w:val="Heading3"/>
        <w:ind w:left="0"/>
      </w:pPr>
      <w:r w:rsidRPr="00FA28FF">
        <w:t>How was the study conducted?</w:t>
      </w:r>
    </w:p>
    <w:p w14:paraId="4F133C14" w14:textId="58F1230E" w:rsidR="00D0015E" w:rsidRDefault="004A37BC" w:rsidP="00BD1B3D">
      <w:r>
        <w:t xml:space="preserve">All participants were asked the questions from the Medical and Mental Health Comorbidities Interview (MMHCI) at </w:t>
      </w:r>
      <w:r w:rsidR="00F64CF3">
        <w:t xml:space="preserve">their </w:t>
      </w:r>
      <w:r>
        <w:t xml:space="preserve">ten-year follow-up. For each MMHCI comorbidity confirmed by participants, </w:t>
      </w:r>
      <w:r w:rsidR="00F64CF3">
        <w:t>they</w:t>
      </w:r>
      <w:r>
        <w:t xml:space="preserve"> were asked </w:t>
      </w:r>
      <w:r w:rsidR="00F64CF3">
        <w:t xml:space="preserve">follow-up questions regarding </w:t>
      </w:r>
      <w:r>
        <w:t xml:space="preserve">whether the comorbidity was diagnosed before, at the same time, or after TBI. </w:t>
      </w:r>
    </w:p>
    <w:p w14:paraId="3AE4439B" w14:textId="77777777" w:rsidR="00D32E30" w:rsidRPr="003574A9" w:rsidRDefault="00AD7E5E" w:rsidP="00D32E30">
      <w:pPr>
        <w:pStyle w:val="Heading3"/>
        <w:ind w:left="0"/>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5A1A6A0E" w14:textId="3E0D4972" w:rsidR="00A30090" w:rsidRDefault="007F7E23" w:rsidP="00BC67C6">
      <w:r>
        <w:t>Clinicians</w:t>
      </w:r>
      <w:r w:rsidR="00BC67C6">
        <w:t xml:space="preserve"> can use the results of this study to familiarize themselves with the types </w:t>
      </w:r>
      <w:bookmarkStart w:id="0" w:name="_Hlk9324535"/>
      <w:r w:rsidR="00BC67C6">
        <w:t xml:space="preserve">of </w:t>
      </w:r>
      <w:bookmarkStart w:id="1" w:name="_Hlk9324260"/>
      <w:r w:rsidR="00BC67C6">
        <w:t>comorbidities</w:t>
      </w:r>
      <w:bookmarkEnd w:id="0"/>
      <w:bookmarkEnd w:id="1"/>
      <w:r w:rsidR="00BC67C6">
        <w:t xml:space="preserve"> associated with patients with TBI </w:t>
      </w:r>
      <w:bookmarkStart w:id="2" w:name="_Hlk9324561"/>
      <w:r w:rsidR="00BC67C6">
        <w:t>ten years following injury</w:t>
      </w:r>
      <w:bookmarkEnd w:id="2"/>
      <w:r w:rsidR="00A30090">
        <w:t xml:space="preserve">. Being aware of these </w:t>
      </w:r>
      <w:r w:rsidR="00A30090" w:rsidRPr="00A30090">
        <w:t>comorbidities</w:t>
      </w:r>
      <w:r w:rsidR="00A30090">
        <w:t xml:space="preserve"> may also help </w:t>
      </w:r>
      <w:r w:rsidR="00BF1DB8">
        <w:t xml:space="preserve">clinicians better plan for treatments and preventive measures. Individuals with TBI and their families can use the results to better understand they types </w:t>
      </w:r>
      <w:r w:rsidR="00BF1DB8" w:rsidRPr="00BF1DB8">
        <w:t>of comorbidities</w:t>
      </w:r>
      <w:r w:rsidR="00BF1DB8">
        <w:t xml:space="preserve"> associated with TBI </w:t>
      </w:r>
      <w:r w:rsidR="00BF1DB8" w:rsidRPr="00BF1DB8">
        <w:t>ten years following injury</w:t>
      </w:r>
      <w:r w:rsidR="00BF1DB8">
        <w:t xml:space="preserve">. </w:t>
      </w:r>
    </w:p>
    <w:bookmarkStart w:id="3" w:name="_Hlk12533193"/>
    <w:p w14:paraId="1F8CDEE8" w14:textId="7812D729" w:rsidR="007A3666" w:rsidRPr="003574A9" w:rsidRDefault="007A3666" w:rsidP="007A3666">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w:t>
      </w:r>
      <w:r>
        <w:fldChar w:fldCharType="end"/>
      </w:r>
      <w:r>
        <w:t xml:space="preserve">eference </w:t>
      </w:r>
    </w:p>
    <w:bookmarkEnd w:id="3"/>
    <w:p w14:paraId="7BF1209F" w14:textId="6064F846" w:rsidR="00A30090" w:rsidRDefault="00BF1DB8" w:rsidP="00BC67C6">
      <w:r w:rsidRPr="00BF1DB8">
        <w:t xml:space="preserve">Hammond, F. M., Corrigan, J. D., Ketchum, J. M., </w:t>
      </w:r>
      <w:proofErr w:type="spellStart"/>
      <w:r w:rsidRPr="00BF1DB8">
        <w:t>Malec</w:t>
      </w:r>
      <w:proofErr w:type="spellEnd"/>
      <w:r w:rsidRPr="00BF1DB8">
        <w:t>, J. F., Dams-</w:t>
      </w:r>
      <w:proofErr w:type="spellStart"/>
      <w:r w:rsidRPr="00BF1DB8">
        <w:t>Oʼconnor</w:t>
      </w:r>
      <w:proofErr w:type="spellEnd"/>
      <w:r w:rsidRPr="00BF1DB8">
        <w:t xml:space="preserve">, K., Hart, T., . . . </w:t>
      </w:r>
      <w:proofErr w:type="spellStart"/>
      <w:r w:rsidRPr="00BF1DB8">
        <w:t>Whiteneck</w:t>
      </w:r>
      <w:proofErr w:type="spellEnd"/>
      <w:r w:rsidRPr="00BF1DB8">
        <w:t>, G. G. (2019). Prevalence of Medical and Psychiatric Comorbidities Following Traumatic Brain Injury. Journal of Head Trauma Rehabilitation, 1. doi:10.1097/htr.0000000000000465</w:t>
      </w:r>
    </w:p>
    <w:p w14:paraId="6BBECF5C" w14:textId="77777777" w:rsidR="00BC67C6" w:rsidRDefault="00BC67C6" w:rsidP="00BC67C6"/>
    <w:p w14:paraId="37557139" w14:textId="584F82EE" w:rsidR="007A3666" w:rsidRPr="007A3666" w:rsidRDefault="007A3666" w:rsidP="007A3666">
      <w:pPr>
        <w:pStyle w:val="Heading3"/>
        <w:ind w:left="0"/>
      </w:pPr>
      <w:hyperlink r:id="rId12" w:anchor="Note" w:tooltip="Describe who could use the results and how. Could be patient, doctor, administration, centers. Should make sense given findings and study design. Do not overreach." w:history="1">
        <w:r>
          <w:t>Disclaimer</w:t>
        </w:r>
      </w:hyperlink>
      <w:r>
        <w:t xml:space="preserve"> </w:t>
      </w:r>
      <w:bookmarkStart w:id="4" w:name="_GoBack"/>
      <w:bookmarkEnd w:id="4"/>
    </w:p>
    <w:p w14:paraId="7DC7CD14" w14:textId="24A05E7C"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D571F" w14:textId="77777777" w:rsidR="00AD7E5E" w:rsidRDefault="00AD7E5E">
      <w:pPr>
        <w:spacing w:before="0" w:after="0" w:line="240" w:lineRule="auto"/>
      </w:pPr>
      <w:r>
        <w:separator/>
      </w:r>
    </w:p>
  </w:endnote>
  <w:endnote w:type="continuationSeparator" w:id="0">
    <w:p w14:paraId="2065C38F" w14:textId="77777777" w:rsidR="00AD7E5E" w:rsidRDefault="00AD7E5E">
      <w:pPr>
        <w:spacing w:before="0" w:after="0" w:line="240" w:lineRule="auto"/>
      </w:pPr>
      <w:r>
        <w:continuationSeparator/>
      </w:r>
    </w:p>
  </w:endnote>
  <w:endnote w:type="continuationNotice" w:id="1">
    <w:p w14:paraId="176586D4" w14:textId="77777777" w:rsidR="00AD7E5E" w:rsidRDefault="00AD7E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AD7E5E"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6433" w14:textId="77777777" w:rsidR="00AD7E5E" w:rsidRPr="006C7FDE" w:rsidRDefault="00AD7E5E" w:rsidP="006C7FDE">
      <w:pPr>
        <w:pStyle w:val="Footer"/>
      </w:pPr>
    </w:p>
  </w:footnote>
  <w:footnote w:type="continuationSeparator" w:id="0">
    <w:p w14:paraId="7A1251E4" w14:textId="77777777" w:rsidR="00AD7E5E" w:rsidRPr="006C7FDE" w:rsidRDefault="00AD7E5E" w:rsidP="006C7FDE">
      <w:pPr>
        <w:pStyle w:val="Footer"/>
      </w:pPr>
    </w:p>
  </w:footnote>
  <w:footnote w:type="continuationNotice" w:id="1">
    <w:p w14:paraId="469F153A" w14:textId="77777777" w:rsidR="00AD7E5E" w:rsidRDefault="00AD7E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5EB4"/>
    <w:rsid w:val="00057592"/>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3D6A"/>
    <w:rsid w:val="0018455A"/>
    <w:rsid w:val="001A5331"/>
    <w:rsid w:val="001B4D9E"/>
    <w:rsid w:val="001D2DE7"/>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71A95"/>
    <w:rsid w:val="00380DCF"/>
    <w:rsid w:val="00380F16"/>
    <w:rsid w:val="003812EA"/>
    <w:rsid w:val="00381598"/>
    <w:rsid w:val="00387B3F"/>
    <w:rsid w:val="003D451D"/>
    <w:rsid w:val="003F2E49"/>
    <w:rsid w:val="003F4CEF"/>
    <w:rsid w:val="00420213"/>
    <w:rsid w:val="00423930"/>
    <w:rsid w:val="0043355B"/>
    <w:rsid w:val="00433944"/>
    <w:rsid w:val="00435E44"/>
    <w:rsid w:val="00436B55"/>
    <w:rsid w:val="00445D1A"/>
    <w:rsid w:val="004663F7"/>
    <w:rsid w:val="004709C0"/>
    <w:rsid w:val="00481C3B"/>
    <w:rsid w:val="0048389B"/>
    <w:rsid w:val="00486F57"/>
    <w:rsid w:val="004A37BC"/>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90596"/>
    <w:rsid w:val="005C3438"/>
    <w:rsid w:val="005D0F31"/>
    <w:rsid w:val="005D2332"/>
    <w:rsid w:val="005D67DD"/>
    <w:rsid w:val="005E4EE1"/>
    <w:rsid w:val="005F5B10"/>
    <w:rsid w:val="00611B8D"/>
    <w:rsid w:val="00615CAD"/>
    <w:rsid w:val="00631A0A"/>
    <w:rsid w:val="0064519B"/>
    <w:rsid w:val="0066558D"/>
    <w:rsid w:val="0067378B"/>
    <w:rsid w:val="00673FEA"/>
    <w:rsid w:val="00675B32"/>
    <w:rsid w:val="00686E7C"/>
    <w:rsid w:val="006C7FDE"/>
    <w:rsid w:val="006E1CAF"/>
    <w:rsid w:val="006E39CD"/>
    <w:rsid w:val="006E6158"/>
    <w:rsid w:val="006F74CA"/>
    <w:rsid w:val="006F7D09"/>
    <w:rsid w:val="007034C5"/>
    <w:rsid w:val="00711468"/>
    <w:rsid w:val="007126B2"/>
    <w:rsid w:val="00726246"/>
    <w:rsid w:val="00727838"/>
    <w:rsid w:val="00736FCA"/>
    <w:rsid w:val="0074314A"/>
    <w:rsid w:val="007462F3"/>
    <w:rsid w:val="00777305"/>
    <w:rsid w:val="00785CE7"/>
    <w:rsid w:val="00793240"/>
    <w:rsid w:val="007A3666"/>
    <w:rsid w:val="007B17CB"/>
    <w:rsid w:val="007B64E2"/>
    <w:rsid w:val="007C71D6"/>
    <w:rsid w:val="007E1081"/>
    <w:rsid w:val="007E6A41"/>
    <w:rsid w:val="007F7E23"/>
    <w:rsid w:val="008034F6"/>
    <w:rsid w:val="00816351"/>
    <w:rsid w:val="00835888"/>
    <w:rsid w:val="0084779C"/>
    <w:rsid w:val="00847897"/>
    <w:rsid w:val="008567C5"/>
    <w:rsid w:val="00860B09"/>
    <w:rsid w:val="00861210"/>
    <w:rsid w:val="00862E17"/>
    <w:rsid w:val="00864AFC"/>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277D"/>
    <w:rsid w:val="00984090"/>
    <w:rsid w:val="00991171"/>
    <w:rsid w:val="009D05E2"/>
    <w:rsid w:val="009D6CB7"/>
    <w:rsid w:val="009F7207"/>
    <w:rsid w:val="00A023B2"/>
    <w:rsid w:val="00A138CB"/>
    <w:rsid w:val="00A30090"/>
    <w:rsid w:val="00A34025"/>
    <w:rsid w:val="00A3453C"/>
    <w:rsid w:val="00A505BB"/>
    <w:rsid w:val="00A5074D"/>
    <w:rsid w:val="00A570FB"/>
    <w:rsid w:val="00A73FA1"/>
    <w:rsid w:val="00A76007"/>
    <w:rsid w:val="00A83B89"/>
    <w:rsid w:val="00A96EA2"/>
    <w:rsid w:val="00AA1093"/>
    <w:rsid w:val="00AA5CE2"/>
    <w:rsid w:val="00AB3647"/>
    <w:rsid w:val="00AB56C4"/>
    <w:rsid w:val="00AC0EF0"/>
    <w:rsid w:val="00AD689F"/>
    <w:rsid w:val="00AD7E5E"/>
    <w:rsid w:val="00AE5027"/>
    <w:rsid w:val="00B041A0"/>
    <w:rsid w:val="00B05C04"/>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C67C6"/>
    <w:rsid w:val="00BD1B3D"/>
    <w:rsid w:val="00BD35B2"/>
    <w:rsid w:val="00BD51FF"/>
    <w:rsid w:val="00BF1DB8"/>
    <w:rsid w:val="00C0512E"/>
    <w:rsid w:val="00C16F7D"/>
    <w:rsid w:val="00C22DFC"/>
    <w:rsid w:val="00C235C4"/>
    <w:rsid w:val="00C30ED8"/>
    <w:rsid w:val="00C467E9"/>
    <w:rsid w:val="00C52204"/>
    <w:rsid w:val="00C52BD0"/>
    <w:rsid w:val="00C53CD9"/>
    <w:rsid w:val="00C60D9C"/>
    <w:rsid w:val="00C64EAE"/>
    <w:rsid w:val="00C74932"/>
    <w:rsid w:val="00C81849"/>
    <w:rsid w:val="00C84DC0"/>
    <w:rsid w:val="00C86850"/>
    <w:rsid w:val="00C8695F"/>
    <w:rsid w:val="00C93CC2"/>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87176"/>
    <w:rsid w:val="00E87314"/>
    <w:rsid w:val="00E9057C"/>
    <w:rsid w:val="00E95262"/>
    <w:rsid w:val="00EA2AAD"/>
    <w:rsid w:val="00EC0B9F"/>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C39050-C086-4CC9-A7EA-5D57606C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4</cp:revision>
  <cp:lastPrinted>2014-09-23T15:34:00Z</cp:lastPrinted>
  <dcterms:created xsi:type="dcterms:W3CDTF">2019-06-12T19:20:00Z</dcterms:created>
  <dcterms:modified xsi:type="dcterms:W3CDTF">2019-06-27T18:06:00Z</dcterms:modified>
</cp:coreProperties>
</file>