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69D1B728" w14:textId="1BA755A9" w:rsidR="00874D61" w:rsidRPr="00874D61" w:rsidRDefault="00874D61" w:rsidP="00874D61">
      <w:pPr>
        <w:pStyle w:val="Heading3"/>
        <w:spacing w:before="360"/>
        <w:rPr>
          <w:rFonts w:ascii="Arial" w:hAnsi="Arial"/>
          <w:color w:val="CA602C"/>
          <w:sz w:val="28"/>
          <w:szCs w:val="32"/>
        </w:rPr>
      </w:pPr>
      <w:r w:rsidRPr="00874D61">
        <w:rPr>
          <w:rFonts w:ascii="Arial" w:hAnsi="Arial"/>
          <w:color w:val="CA602C"/>
          <w:sz w:val="28"/>
          <w:szCs w:val="32"/>
        </w:rPr>
        <w:t>Comparing Blunt and Penetrating Trauma in</w:t>
      </w:r>
      <w:r>
        <w:rPr>
          <w:rFonts w:ascii="Arial" w:hAnsi="Arial"/>
          <w:color w:val="CA602C"/>
          <w:sz w:val="28"/>
          <w:szCs w:val="32"/>
        </w:rPr>
        <w:t xml:space="preserve"> </w:t>
      </w:r>
      <w:r w:rsidRPr="00874D61">
        <w:rPr>
          <w:rFonts w:ascii="Arial" w:hAnsi="Arial"/>
          <w:color w:val="CA602C"/>
          <w:sz w:val="28"/>
          <w:szCs w:val="32"/>
        </w:rPr>
        <w:t xml:space="preserve">Spinal Cord Injury: Analysis of </w:t>
      </w:r>
      <w:bookmarkStart w:id="0" w:name="_Hlk11070587"/>
      <w:r w:rsidRPr="00874D61">
        <w:rPr>
          <w:rFonts w:ascii="Arial" w:hAnsi="Arial"/>
          <w:color w:val="CA602C"/>
          <w:sz w:val="28"/>
          <w:szCs w:val="32"/>
        </w:rPr>
        <w:t>Long-Term</w:t>
      </w:r>
      <w:r>
        <w:rPr>
          <w:rFonts w:ascii="Arial" w:hAnsi="Arial"/>
          <w:color w:val="CA602C"/>
          <w:sz w:val="28"/>
          <w:szCs w:val="32"/>
        </w:rPr>
        <w:t xml:space="preserve"> </w:t>
      </w:r>
      <w:r w:rsidRPr="00874D61">
        <w:rPr>
          <w:rFonts w:ascii="Arial" w:hAnsi="Arial"/>
          <w:color w:val="CA602C"/>
          <w:sz w:val="28"/>
          <w:szCs w:val="32"/>
        </w:rPr>
        <w:t>Functional and Neurological Outcomes</w:t>
      </w:r>
      <w:bookmarkEnd w:id="0"/>
      <w:r w:rsidRPr="00874D61">
        <w:rPr>
          <w:rFonts w:ascii="Arial" w:hAnsi="Arial"/>
          <w:color w:val="CA602C"/>
          <w:sz w:val="28"/>
          <w:szCs w:val="32"/>
          <w:vertAlign w:val="superscript"/>
        </w:rPr>
        <w:t>1</w:t>
      </w:r>
    </w:p>
    <w:p w14:paraId="52E59DE8" w14:textId="6CAFA2B9" w:rsidR="00615CAD" w:rsidRDefault="00615CAD" w:rsidP="00874D61">
      <w:pPr>
        <w:pStyle w:val="Heading3"/>
        <w:spacing w:before="360"/>
        <w:ind w:left="0"/>
      </w:pPr>
      <w:r w:rsidRPr="00FA28FF">
        <w:t>What is</w:t>
      </w:r>
      <w:r w:rsidRPr="00615CAD">
        <w:t xml:space="preserve"> th</w:t>
      </w:r>
      <w:r w:rsidR="00B725C0">
        <w:t>e study about?</w:t>
      </w:r>
    </w:p>
    <w:p w14:paraId="2902754A" w14:textId="3D829733" w:rsidR="00874D61" w:rsidRDefault="00747A2D" w:rsidP="00874D61">
      <w:r>
        <w:t xml:space="preserve">Spinal cord injuries (SCI) can be divided into two categories: 1) blunt spinal cord injury (BSCI) and 2) penetrating spinal cord injury (PSCI). </w:t>
      </w:r>
      <w:r w:rsidR="00874D61">
        <w:t xml:space="preserve">The </w:t>
      </w:r>
      <w:r>
        <w:t xml:space="preserve">aim </w:t>
      </w:r>
      <w:r w:rsidR="00874D61">
        <w:t>of this study was to compare</w:t>
      </w:r>
      <w:r>
        <w:t xml:space="preserve"> BSCI and PSCI</w:t>
      </w:r>
      <w:r w:rsidR="00874D61">
        <w:t xml:space="preserve"> </w:t>
      </w:r>
      <w:r>
        <w:t>trauma</w:t>
      </w:r>
      <w:r w:rsidR="00874D61">
        <w:t xml:space="preserve"> to describe differences in the long-term functional and </w:t>
      </w:r>
      <w:r>
        <w:t>neurological</w:t>
      </w:r>
      <w:r w:rsidR="00874D61">
        <w:t xml:space="preserve"> outcomes for </w:t>
      </w:r>
      <w:r>
        <w:t>these two injury categories.</w:t>
      </w:r>
      <w:r w:rsidR="00874D61">
        <w:t xml:space="preserve">  </w:t>
      </w:r>
    </w:p>
    <w:p w14:paraId="1FD8C6C8" w14:textId="1D076339" w:rsidR="00D32E30" w:rsidRDefault="00D32E30" w:rsidP="00D32E30">
      <w:pPr>
        <w:pStyle w:val="Heading3"/>
        <w:ind w:left="0"/>
      </w:pPr>
      <w:r w:rsidRPr="00FA28FF">
        <w:t>What did the study find?</w:t>
      </w:r>
    </w:p>
    <w:p w14:paraId="3F7654BA" w14:textId="68D2A87D" w:rsidR="00747A2D" w:rsidRDefault="004B614E" w:rsidP="00747A2D">
      <w:r w:rsidRPr="004B614E">
        <w:t>This study found significant differences between individuals with BSCI and PSCI. In terms of participant characteristics, individuals with PSCI were more likely to be male, African American, and Hispanic. Individuals with PSCI were also more likely to have complete injuries as measured by the American Spinal Injury Association Impairment Scale</w:t>
      </w:r>
      <w:r w:rsidR="00B56CAC">
        <w:t xml:space="preserve"> (AIS)</w:t>
      </w:r>
      <w:r w:rsidRPr="004B614E">
        <w:t>. Individuals with PSCI were also more likely to have government insurance, less likely to be married or employed, and less likely to have a college education. Individuals with BSCI were more likely to undergo surgery during acute care hospitalization.</w:t>
      </w:r>
    </w:p>
    <w:p w14:paraId="4D088AA8" w14:textId="399D474D" w:rsidR="00615CAD" w:rsidRDefault="00615CAD" w:rsidP="00B74623">
      <w:pPr>
        <w:pStyle w:val="Heading3"/>
        <w:ind w:left="0"/>
      </w:pPr>
      <w:r w:rsidRPr="000B1BE7">
        <w:t>Who participated in the</w:t>
      </w:r>
      <w:r w:rsidR="00B725C0" w:rsidRPr="000B1BE7">
        <w:t xml:space="preserve"> study?</w:t>
      </w:r>
    </w:p>
    <w:p w14:paraId="61C525BE" w14:textId="482E92EE" w:rsidR="00747A2D" w:rsidRPr="00747A2D" w:rsidRDefault="00747A2D" w:rsidP="00747A2D">
      <w:r>
        <w:t xml:space="preserve">Participants </w:t>
      </w:r>
      <w:r w:rsidR="005D3FD6">
        <w:t>included individuals with</w:t>
      </w:r>
      <w:r>
        <w:t xml:space="preserve"> BSCI (n = 5,316) and PSCI (n = 1,062)</w:t>
      </w:r>
      <w:r w:rsidR="005D3FD6">
        <w:t xml:space="preserve"> and were identified using</w:t>
      </w:r>
      <w:r>
        <w:t xml:space="preserve"> the Spinal Cord Injury Model Systems database from January 1994 to January 2015</w:t>
      </w:r>
      <w:r w:rsidR="005D3FD6">
        <w:t xml:space="preserve">. </w:t>
      </w:r>
    </w:p>
    <w:p w14:paraId="5A791BB4" w14:textId="0BE29F61" w:rsidR="00615CAD" w:rsidRDefault="00615CAD" w:rsidP="00B74623">
      <w:pPr>
        <w:pStyle w:val="Heading3"/>
        <w:ind w:left="0"/>
      </w:pPr>
      <w:r w:rsidRPr="00FA28FF">
        <w:t>How was the study conducted?</w:t>
      </w:r>
    </w:p>
    <w:p w14:paraId="3F1DAFBE" w14:textId="24123094" w:rsidR="00507F9D" w:rsidRPr="00507F9D" w:rsidRDefault="00507F9D" w:rsidP="00507F9D">
      <w:r>
        <w:t xml:space="preserve">Outcomes </w:t>
      </w:r>
      <w:r w:rsidR="00B56CAC">
        <w:t xml:space="preserve">for this study </w:t>
      </w:r>
      <w:r>
        <w:t>were measured using the International Standards for Neurological Classification of Spinal Cord Injury and FIM motor</w:t>
      </w:r>
      <w:r w:rsidR="00B56CAC">
        <w:t xml:space="preserve"> </w:t>
      </w:r>
      <w:r>
        <w:t xml:space="preserve">scores. </w:t>
      </w:r>
      <w:r w:rsidR="00390365">
        <w:t>C</w:t>
      </w:r>
      <w:r w:rsidR="00390365" w:rsidRPr="00390365">
        <w:t>omplete injuries were evaluated separately from incomplete injuries</w:t>
      </w:r>
      <w:r w:rsidR="00390365">
        <w:t xml:space="preserve"> using the </w:t>
      </w:r>
      <w:r w:rsidR="00F662D0">
        <w:t xml:space="preserve">AIS at </w:t>
      </w:r>
      <w:r>
        <w:t>acute hospitalization, SCI rehabilitation, and 1-year follow-up.</w:t>
      </w:r>
    </w:p>
    <w:p w14:paraId="3AE4439B" w14:textId="71F89C69" w:rsidR="00D32E30" w:rsidRDefault="001818F0" w:rsidP="00D32E30">
      <w:pPr>
        <w:pStyle w:val="Heading3"/>
        <w:ind w:left="0"/>
      </w:pPr>
      <w:hyperlink r:id="rId11" w:anchor="Note" w:tooltip="Describe who could use the results and how. Could be patient, doctor, administration, centers. Should make sense given findings and study design. Do not overreach." w:history="1">
        <w:r w:rsidR="00D32E30" w:rsidRPr="003574A9">
          <w:t>How can people use the results?</w:t>
        </w:r>
      </w:hyperlink>
    </w:p>
    <w:p w14:paraId="69954F78" w14:textId="62CFECC0" w:rsidR="00C06F41" w:rsidRDefault="009023E2" w:rsidP="00C06F41">
      <w:r w:rsidRPr="009023E2">
        <w:t xml:space="preserve">These findings can be used by clinicians, individuals with </w:t>
      </w:r>
      <w:r>
        <w:t>SCI</w:t>
      </w:r>
      <w:r w:rsidRPr="009023E2">
        <w:t xml:space="preserve"> and their families</w:t>
      </w:r>
      <w:r>
        <w:t xml:space="preserve"> to help them understand the differences in l</w:t>
      </w:r>
      <w:r w:rsidRPr="009023E2">
        <w:t>ong-</w:t>
      </w:r>
      <w:r>
        <w:t>t</w:t>
      </w:r>
      <w:r w:rsidRPr="009023E2">
        <w:t xml:space="preserve">erm </w:t>
      </w:r>
      <w:r>
        <w:t>f</w:t>
      </w:r>
      <w:r w:rsidRPr="009023E2">
        <w:t xml:space="preserve">unctional and </w:t>
      </w:r>
      <w:r>
        <w:t>n</w:t>
      </w:r>
      <w:r w:rsidRPr="009023E2">
        <w:t xml:space="preserve">eurological </w:t>
      </w:r>
      <w:r>
        <w:t>o</w:t>
      </w:r>
      <w:r w:rsidRPr="009023E2">
        <w:t>utcomes</w:t>
      </w:r>
      <w:r>
        <w:t xml:space="preserve"> between BSCI and PSCI. </w:t>
      </w:r>
    </w:p>
    <w:p w14:paraId="426B77B3" w14:textId="43118C1B" w:rsidR="00992DAC" w:rsidRDefault="00992DAC" w:rsidP="00992DAC">
      <w:pPr>
        <w:pStyle w:val="Heading3"/>
        <w:ind w:left="0"/>
      </w:pPr>
      <w:bookmarkStart w:id="1" w:name="_Hlk12534794"/>
      <w:bookmarkStart w:id="2" w:name="_Hlk12534814"/>
      <w:r>
        <w:t>Reference</w:t>
      </w:r>
      <w:bookmarkEnd w:id="1"/>
      <w:r>
        <w:t xml:space="preserve"> </w:t>
      </w:r>
    </w:p>
    <w:bookmarkEnd w:id="2"/>
    <w:p w14:paraId="6A9F500D" w14:textId="0295188D" w:rsidR="00C06F41" w:rsidRPr="00C06F41" w:rsidRDefault="009023E2" w:rsidP="00C06F41">
      <w:r w:rsidRPr="009023E2">
        <w:t>Roach, M. J., Chen, Y., &amp; Kelly, M. L. (2018). Comparing Blunt and Penetrating Trauma in Spinal Cord Injury: Analysis of Long-Term Functional and Neurological Outcomes. Topics in Spinal Cord Injury Rehabilitation, 24(2), 121-132. doi:10.1310/sci2402-121</w:t>
      </w:r>
    </w:p>
    <w:p w14:paraId="7946720F" w14:textId="77777777" w:rsidR="0028556A" w:rsidRDefault="0028556A" w:rsidP="00F4413B"/>
    <w:p w14:paraId="37644276" w14:textId="20B2DB51" w:rsidR="00992DAC" w:rsidRPr="00992DAC" w:rsidRDefault="00992DAC" w:rsidP="00992DAC">
      <w:pPr>
        <w:pStyle w:val="Heading3"/>
        <w:ind w:left="0"/>
      </w:pPr>
      <w:r>
        <w:lastRenderedPageBreak/>
        <w:t>Disclaimer</w:t>
      </w:r>
      <w:r>
        <w:t xml:space="preserve"> </w:t>
      </w:r>
    </w:p>
    <w:p w14:paraId="7DC7CD14" w14:textId="31D444E8"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w:t>
      </w:r>
      <w:bookmarkStart w:id="3" w:name="_GoBack"/>
      <w:bookmarkEnd w:id="3"/>
      <w:r w:rsidRPr="00D53A49">
        <w:rPr>
          <w:rFonts w:ascii="Arial Narrow" w:hAnsi="Arial Narrow"/>
          <w:color w:val="000000" w:themeColor="text1"/>
          <w:sz w:val="18"/>
          <w:szCs w:val="18"/>
        </w:rPr>
        <w:t>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0C314" w14:textId="77777777" w:rsidR="001818F0" w:rsidRDefault="001818F0">
      <w:pPr>
        <w:spacing w:before="0" w:after="0" w:line="240" w:lineRule="auto"/>
      </w:pPr>
      <w:r>
        <w:separator/>
      </w:r>
    </w:p>
  </w:endnote>
  <w:endnote w:type="continuationSeparator" w:id="0">
    <w:p w14:paraId="130FDB1A" w14:textId="77777777" w:rsidR="001818F0" w:rsidRDefault="001818F0">
      <w:pPr>
        <w:spacing w:before="0" w:after="0" w:line="240" w:lineRule="auto"/>
      </w:pPr>
      <w:r>
        <w:continuationSeparator/>
      </w:r>
    </w:p>
  </w:endnote>
  <w:endnote w:type="continuationNotice" w:id="1">
    <w:p w14:paraId="7B225549" w14:textId="77777777" w:rsidR="001818F0" w:rsidRDefault="001818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1818F0"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71ED" w14:textId="77777777" w:rsidR="001818F0" w:rsidRPr="006C7FDE" w:rsidRDefault="001818F0" w:rsidP="006C7FDE">
      <w:pPr>
        <w:pStyle w:val="Footer"/>
      </w:pPr>
    </w:p>
  </w:footnote>
  <w:footnote w:type="continuationSeparator" w:id="0">
    <w:p w14:paraId="24684AEB" w14:textId="77777777" w:rsidR="001818F0" w:rsidRPr="006C7FDE" w:rsidRDefault="001818F0" w:rsidP="006C7FDE">
      <w:pPr>
        <w:pStyle w:val="Footer"/>
      </w:pPr>
    </w:p>
  </w:footnote>
  <w:footnote w:type="continuationNotice" w:id="1">
    <w:p w14:paraId="6573345E" w14:textId="77777777" w:rsidR="001818F0" w:rsidRDefault="001818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2F87"/>
    <w:rsid w:val="0007334C"/>
    <w:rsid w:val="0007540E"/>
    <w:rsid w:val="000769AC"/>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18F0"/>
    <w:rsid w:val="00183D6A"/>
    <w:rsid w:val="0018455A"/>
    <w:rsid w:val="001A5331"/>
    <w:rsid w:val="001B4D9E"/>
    <w:rsid w:val="001D2DE7"/>
    <w:rsid w:val="001E236C"/>
    <w:rsid w:val="001F5587"/>
    <w:rsid w:val="001F6F7A"/>
    <w:rsid w:val="001F7E52"/>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71A95"/>
    <w:rsid w:val="00380DCF"/>
    <w:rsid w:val="00380F16"/>
    <w:rsid w:val="003812EA"/>
    <w:rsid w:val="00381598"/>
    <w:rsid w:val="00387B3F"/>
    <w:rsid w:val="00390365"/>
    <w:rsid w:val="003D451D"/>
    <w:rsid w:val="003F4CEF"/>
    <w:rsid w:val="00420213"/>
    <w:rsid w:val="00423930"/>
    <w:rsid w:val="0043355B"/>
    <w:rsid w:val="00433944"/>
    <w:rsid w:val="00435E44"/>
    <w:rsid w:val="00436B55"/>
    <w:rsid w:val="00445D1A"/>
    <w:rsid w:val="004663F7"/>
    <w:rsid w:val="004709C0"/>
    <w:rsid w:val="00480E54"/>
    <w:rsid w:val="00481C3B"/>
    <w:rsid w:val="0048389B"/>
    <w:rsid w:val="00486F57"/>
    <w:rsid w:val="004B3B8B"/>
    <w:rsid w:val="004B4346"/>
    <w:rsid w:val="004B53C9"/>
    <w:rsid w:val="004B614E"/>
    <w:rsid w:val="004B71D3"/>
    <w:rsid w:val="004C59F0"/>
    <w:rsid w:val="004C6036"/>
    <w:rsid w:val="004F76FF"/>
    <w:rsid w:val="004F7772"/>
    <w:rsid w:val="00507EE6"/>
    <w:rsid w:val="00507F9D"/>
    <w:rsid w:val="00522108"/>
    <w:rsid w:val="00525A6A"/>
    <w:rsid w:val="00542C59"/>
    <w:rsid w:val="005439A8"/>
    <w:rsid w:val="0055447C"/>
    <w:rsid w:val="00557B58"/>
    <w:rsid w:val="00566ABE"/>
    <w:rsid w:val="0056740C"/>
    <w:rsid w:val="00572609"/>
    <w:rsid w:val="005C3438"/>
    <w:rsid w:val="005D0F31"/>
    <w:rsid w:val="005D2332"/>
    <w:rsid w:val="005D3FD6"/>
    <w:rsid w:val="005D67DD"/>
    <w:rsid w:val="005E4EE1"/>
    <w:rsid w:val="005F5B10"/>
    <w:rsid w:val="00611B8D"/>
    <w:rsid w:val="00615CAD"/>
    <w:rsid w:val="00631A0A"/>
    <w:rsid w:val="0064519B"/>
    <w:rsid w:val="0066558D"/>
    <w:rsid w:val="0067378B"/>
    <w:rsid w:val="00673FEA"/>
    <w:rsid w:val="00675B32"/>
    <w:rsid w:val="00686E7C"/>
    <w:rsid w:val="006A4D2C"/>
    <w:rsid w:val="006C7FDE"/>
    <w:rsid w:val="006E1CAF"/>
    <w:rsid w:val="006E39CD"/>
    <w:rsid w:val="006E6158"/>
    <w:rsid w:val="006F74CA"/>
    <w:rsid w:val="006F7D09"/>
    <w:rsid w:val="007034C5"/>
    <w:rsid w:val="00711468"/>
    <w:rsid w:val="007126B2"/>
    <w:rsid w:val="00726246"/>
    <w:rsid w:val="00736FCA"/>
    <w:rsid w:val="0074314A"/>
    <w:rsid w:val="007462F3"/>
    <w:rsid w:val="00747A2D"/>
    <w:rsid w:val="00777305"/>
    <w:rsid w:val="00785CE7"/>
    <w:rsid w:val="00793240"/>
    <w:rsid w:val="007B17CB"/>
    <w:rsid w:val="007B64E2"/>
    <w:rsid w:val="007C71D6"/>
    <w:rsid w:val="007E1081"/>
    <w:rsid w:val="007E6A41"/>
    <w:rsid w:val="008034F6"/>
    <w:rsid w:val="00816351"/>
    <w:rsid w:val="00835888"/>
    <w:rsid w:val="0084779C"/>
    <w:rsid w:val="00847897"/>
    <w:rsid w:val="008567C5"/>
    <w:rsid w:val="00857D18"/>
    <w:rsid w:val="00860B09"/>
    <w:rsid w:val="00861210"/>
    <w:rsid w:val="00862E17"/>
    <w:rsid w:val="00864AFC"/>
    <w:rsid w:val="00874D61"/>
    <w:rsid w:val="008D6A74"/>
    <w:rsid w:val="008E1871"/>
    <w:rsid w:val="008E4513"/>
    <w:rsid w:val="008E7EFD"/>
    <w:rsid w:val="008F1C67"/>
    <w:rsid w:val="008F230B"/>
    <w:rsid w:val="008F52C9"/>
    <w:rsid w:val="009023E2"/>
    <w:rsid w:val="00914608"/>
    <w:rsid w:val="009154AD"/>
    <w:rsid w:val="009161F5"/>
    <w:rsid w:val="009216E0"/>
    <w:rsid w:val="00925EF3"/>
    <w:rsid w:val="009270E2"/>
    <w:rsid w:val="00931326"/>
    <w:rsid w:val="0093330A"/>
    <w:rsid w:val="0093353B"/>
    <w:rsid w:val="0095330D"/>
    <w:rsid w:val="0097551C"/>
    <w:rsid w:val="00980932"/>
    <w:rsid w:val="0098165F"/>
    <w:rsid w:val="0098277D"/>
    <w:rsid w:val="00984090"/>
    <w:rsid w:val="00991171"/>
    <w:rsid w:val="00992DAC"/>
    <w:rsid w:val="009D05E2"/>
    <w:rsid w:val="009D6CB7"/>
    <w:rsid w:val="009F7207"/>
    <w:rsid w:val="00A023B2"/>
    <w:rsid w:val="00A138CB"/>
    <w:rsid w:val="00A34025"/>
    <w:rsid w:val="00A3453C"/>
    <w:rsid w:val="00A505BB"/>
    <w:rsid w:val="00A5074D"/>
    <w:rsid w:val="00A570FB"/>
    <w:rsid w:val="00A73FA1"/>
    <w:rsid w:val="00A76007"/>
    <w:rsid w:val="00A83B89"/>
    <w:rsid w:val="00AA1093"/>
    <w:rsid w:val="00AB3647"/>
    <w:rsid w:val="00AB56C4"/>
    <w:rsid w:val="00AC0EF0"/>
    <w:rsid w:val="00AD689F"/>
    <w:rsid w:val="00AE5027"/>
    <w:rsid w:val="00B041A0"/>
    <w:rsid w:val="00B05C04"/>
    <w:rsid w:val="00B15D01"/>
    <w:rsid w:val="00B27DCB"/>
    <w:rsid w:val="00B329BC"/>
    <w:rsid w:val="00B52FFC"/>
    <w:rsid w:val="00B5367C"/>
    <w:rsid w:val="00B5526D"/>
    <w:rsid w:val="00B56CAC"/>
    <w:rsid w:val="00B70955"/>
    <w:rsid w:val="00B711C2"/>
    <w:rsid w:val="00B725C0"/>
    <w:rsid w:val="00B74623"/>
    <w:rsid w:val="00B7633C"/>
    <w:rsid w:val="00B80033"/>
    <w:rsid w:val="00B803C6"/>
    <w:rsid w:val="00B90539"/>
    <w:rsid w:val="00B93F0D"/>
    <w:rsid w:val="00B9788A"/>
    <w:rsid w:val="00BA191F"/>
    <w:rsid w:val="00BA668B"/>
    <w:rsid w:val="00BC6137"/>
    <w:rsid w:val="00BD1B3D"/>
    <w:rsid w:val="00BD35B2"/>
    <w:rsid w:val="00BD51FF"/>
    <w:rsid w:val="00C0512E"/>
    <w:rsid w:val="00C06F41"/>
    <w:rsid w:val="00C16F7D"/>
    <w:rsid w:val="00C22DFC"/>
    <w:rsid w:val="00C235C4"/>
    <w:rsid w:val="00C30ED8"/>
    <w:rsid w:val="00C467E9"/>
    <w:rsid w:val="00C52204"/>
    <w:rsid w:val="00C52BD0"/>
    <w:rsid w:val="00C53CD9"/>
    <w:rsid w:val="00C60D9C"/>
    <w:rsid w:val="00C64EAE"/>
    <w:rsid w:val="00C81849"/>
    <w:rsid w:val="00C84DC0"/>
    <w:rsid w:val="00C86850"/>
    <w:rsid w:val="00C8695F"/>
    <w:rsid w:val="00C93CC2"/>
    <w:rsid w:val="00CA5E1C"/>
    <w:rsid w:val="00CB236F"/>
    <w:rsid w:val="00CB6944"/>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86CB8"/>
    <w:rsid w:val="00D934F9"/>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87176"/>
    <w:rsid w:val="00E87314"/>
    <w:rsid w:val="00E9057C"/>
    <w:rsid w:val="00E95262"/>
    <w:rsid w:val="00EA2AAD"/>
    <w:rsid w:val="00EC0B9F"/>
    <w:rsid w:val="00EF4837"/>
    <w:rsid w:val="00EF53AC"/>
    <w:rsid w:val="00F04BE5"/>
    <w:rsid w:val="00F103AB"/>
    <w:rsid w:val="00F1053F"/>
    <w:rsid w:val="00F10BC8"/>
    <w:rsid w:val="00F15167"/>
    <w:rsid w:val="00F17CEE"/>
    <w:rsid w:val="00F23D48"/>
    <w:rsid w:val="00F25A14"/>
    <w:rsid w:val="00F4413B"/>
    <w:rsid w:val="00F57594"/>
    <w:rsid w:val="00F643BA"/>
    <w:rsid w:val="00F662D0"/>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20DA2CAB-EFF8-4BDB-8B71-310A5E40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498545-E1CD-4C5F-AC17-345053E1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10</cp:revision>
  <cp:lastPrinted>2014-09-23T15:34:00Z</cp:lastPrinted>
  <dcterms:created xsi:type="dcterms:W3CDTF">2019-06-10T18:12:00Z</dcterms:created>
  <dcterms:modified xsi:type="dcterms:W3CDTF">2019-06-27T18:33:00Z</dcterms:modified>
</cp:coreProperties>
</file>