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21A37EE3" w14:textId="77777777" w:rsidR="003C0524" w:rsidRDefault="003C0524" w:rsidP="003C0524">
      <w:pPr>
        <w:pStyle w:val="Heading2"/>
        <w:spacing w:before="120"/>
      </w:pPr>
      <w:bookmarkStart w:id="0" w:name="_Hlk10532317"/>
      <w:r>
        <w:t xml:space="preserve">The Intersection of Lifetime History of </w:t>
      </w:r>
    </w:p>
    <w:p w14:paraId="1C004F0E" w14:textId="184788A8" w:rsidR="00615CAD" w:rsidRPr="00A3453C" w:rsidRDefault="003C0524" w:rsidP="003C0524">
      <w:pPr>
        <w:pStyle w:val="Heading2"/>
        <w:spacing w:before="120"/>
      </w:pPr>
      <w:r>
        <w:t>Traumatic Brain Injury and the Opioid Epidemic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1A81F433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 w:rsidR="004E7D0E">
        <w:rPr>
          <w:rFonts w:ascii="Calibri" w:hAnsi="Calibri"/>
          <w:b w:val="0"/>
          <w:color w:val="auto"/>
          <w:sz w:val="22"/>
        </w:rPr>
        <w:t>commentary</w:t>
      </w:r>
      <w:r w:rsidR="002F6944">
        <w:rPr>
          <w:rFonts w:ascii="Calibri" w:hAnsi="Calibri"/>
          <w:b w:val="0"/>
          <w:color w:val="auto"/>
          <w:sz w:val="22"/>
        </w:rPr>
        <w:t xml:space="preserve"> article</w:t>
      </w:r>
      <w:r>
        <w:rPr>
          <w:rFonts w:ascii="Calibri" w:hAnsi="Calibri"/>
          <w:b w:val="0"/>
          <w:color w:val="auto"/>
          <w:sz w:val="22"/>
        </w:rPr>
        <w:t xml:space="preserve"> aims to</w:t>
      </w:r>
      <w:r w:rsidR="00AC0DDC">
        <w:rPr>
          <w:rFonts w:ascii="Calibri" w:hAnsi="Calibri"/>
          <w:b w:val="0"/>
          <w:color w:val="auto"/>
          <w:sz w:val="22"/>
        </w:rPr>
        <w:t xml:space="preserve"> highlight the severity of the opioid epidemic and </w:t>
      </w:r>
      <w:r w:rsidR="000F43B9">
        <w:rPr>
          <w:rFonts w:ascii="Calibri" w:hAnsi="Calibri"/>
          <w:b w:val="0"/>
          <w:color w:val="auto"/>
          <w:sz w:val="22"/>
        </w:rPr>
        <w:t xml:space="preserve">the potentially significant </w:t>
      </w:r>
      <w:r w:rsidR="00701C2C">
        <w:rPr>
          <w:rFonts w:ascii="Calibri" w:hAnsi="Calibri"/>
          <w:b w:val="0"/>
          <w:color w:val="auto"/>
          <w:sz w:val="22"/>
        </w:rPr>
        <w:t>connection</w:t>
      </w:r>
      <w:r w:rsidR="000F43B9">
        <w:rPr>
          <w:rFonts w:ascii="Calibri" w:hAnsi="Calibri"/>
          <w:b w:val="0"/>
          <w:color w:val="auto"/>
          <w:sz w:val="22"/>
        </w:rPr>
        <w:t xml:space="preserve"> with </w:t>
      </w:r>
      <w:r w:rsidR="00701C2C">
        <w:rPr>
          <w:rFonts w:ascii="Calibri" w:hAnsi="Calibri"/>
          <w:b w:val="0"/>
          <w:color w:val="auto"/>
          <w:sz w:val="22"/>
        </w:rPr>
        <w:t xml:space="preserve">lifetime history of </w:t>
      </w:r>
      <w:r w:rsidR="000F43B9">
        <w:rPr>
          <w:rFonts w:ascii="Calibri" w:hAnsi="Calibri"/>
          <w:b w:val="0"/>
          <w:color w:val="auto"/>
          <w:sz w:val="22"/>
        </w:rPr>
        <w:t>traumatic brain injury (</w:t>
      </w:r>
      <w:r w:rsidR="00AC0DDC">
        <w:rPr>
          <w:rFonts w:ascii="Calibri" w:hAnsi="Calibri"/>
          <w:b w:val="0"/>
          <w:color w:val="auto"/>
          <w:sz w:val="22"/>
        </w:rPr>
        <w:t>TBI</w:t>
      </w:r>
      <w:r w:rsidR="000F43B9">
        <w:rPr>
          <w:rFonts w:ascii="Calibri" w:hAnsi="Calibri"/>
          <w:b w:val="0"/>
          <w:color w:val="auto"/>
          <w:sz w:val="22"/>
        </w:rPr>
        <w:t>).</w:t>
      </w:r>
      <w:r>
        <w:rPr>
          <w:rFonts w:ascii="Calibri" w:hAnsi="Calibri"/>
          <w:b w:val="0"/>
          <w:color w:val="auto"/>
          <w:sz w:val="22"/>
        </w:rPr>
        <w:t xml:space="preserve"> </w:t>
      </w:r>
      <w:r w:rsidR="002F6944">
        <w:rPr>
          <w:rFonts w:ascii="Calibri" w:hAnsi="Calibri"/>
          <w:b w:val="0"/>
          <w:color w:val="auto"/>
          <w:sz w:val="22"/>
        </w:rPr>
        <w:t xml:space="preserve">The authors suggest that TBI can have unrecognized consequences that may increase the risk for opioid use disorders (OUD). </w:t>
      </w:r>
      <w:r w:rsidR="00E90075">
        <w:rPr>
          <w:rFonts w:ascii="Calibri" w:hAnsi="Calibri"/>
          <w:b w:val="0"/>
          <w:color w:val="auto"/>
          <w:sz w:val="22"/>
        </w:rPr>
        <w:t>The</w:t>
      </w:r>
      <w:r w:rsidR="002F6944">
        <w:rPr>
          <w:rFonts w:ascii="Calibri" w:hAnsi="Calibri"/>
          <w:b w:val="0"/>
          <w:color w:val="auto"/>
          <w:sz w:val="22"/>
        </w:rPr>
        <w:t xml:space="preserve"> </w:t>
      </w:r>
      <w:r w:rsidR="00E90075" w:rsidRPr="002F6944">
        <w:rPr>
          <w:rFonts w:ascii="Calibri" w:hAnsi="Calibri"/>
          <w:b w:val="0"/>
          <w:color w:val="auto"/>
          <w:sz w:val="22"/>
        </w:rPr>
        <w:t>factors</w:t>
      </w:r>
      <w:r w:rsidR="002F6944" w:rsidRPr="002F6944">
        <w:rPr>
          <w:rFonts w:ascii="Calibri" w:hAnsi="Calibri"/>
          <w:b w:val="0"/>
          <w:color w:val="auto"/>
          <w:sz w:val="22"/>
        </w:rPr>
        <w:t xml:space="preserve"> discussed</w:t>
      </w:r>
      <w:r w:rsidR="00E90075" w:rsidRPr="002F6944">
        <w:rPr>
          <w:rFonts w:ascii="Calibri" w:hAnsi="Calibri"/>
          <w:b w:val="0"/>
          <w:color w:val="auto"/>
          <w:sz w:val="22"/>
        </w:rPr>
        <w:t xml:space="preserve"> that can increase risk of opioid use disorder</w:t>
      </w:r>
      <w:r w:rsidR="002F6944" w:rsidRPr="002F6944">
        <w:rPr>
          <w:rFonts w:ascii="Calibri" w:hAnsi="Calibri"/>
          <w:b w:val="0"/>
          <w:color w:val="auto"/>
          <w:sz w:val="22"/>
        </w:rPr>
        <w:t xml:space="preserve"> include: how</w:t>
      </w:r>
      <w:r w:rsidR="00E90075" w:rsidRPr="002F6944">
        <w:rPr>
          <w:rFonts w:ascii="Calibri" w:hAnsi="Calibri"/>
          <w:b w:val="0"/>
          <w:color w:val="auto"/>
          <w:sz w:val="22"/>
        </w:rPr>
        <w:t xml:space="preserve"> TBI causes damage to</w:t>
      </w:r>
      <w:r w:rsidR="002F6944" w:rsidRPr="002F6944">
        <w:rPr>
          <w:rFonts w:ascii="Calibri" w:hAnsi="Calibri"/>
          <w:b w:val="0"/>
          <w:color w:val="auto"/>
          <w:sz w:val="22"/>
        </w:rPr>
        <w:t xml:space="preserve"> the</w:t>
      </w:r>
      <w:r w:rsidR="00E90075" w:rsidRPr="002F6944">
        <w:rPr>
          <w:rFonts w:ascii="Calibri" w:hAnsi="Calibri"/>
          <w:b w:val="0"/>
          <w:color w:val="auto"/>
          <w:sz w:val="22"/>
        </w:rPr>
        <w:t xml:space="preserve"> frontal cortex affecting the re</w:t>
      </w:r>
      <w:r w:rsidR="00C8702D" w:rsidRPr="002F6944">
        <w:rPr>
          <w:rFonts w:ascii="Calibri" w:hAnsi="Calibri"/>
          <w:b w:val="0"/>
          <w:color w:val="auto"/>
          <w:sz w:val="22"/>
        </w:rPr>
        <w:t>w</w:t>
      </w:r>
      <w:r w:rsidR="00E90075" w:rsidRPr="002F6944">
        <w:rPr>
          <w:rFonts w:ascii="Calibri" w:hAnsi="Calibri"/>
          <w:b w:val="0"/>
          <w:color w:val="auto"/>
          <w:sz w:val="22"/>
        </w:rPr>
        <w:t>ard circuit in the brain</w:t>
      </w:r>
      <w:r w:rsidR="00685DBC">
        <w:rPr>
          <w:rFonts w:ascii="Calibri" w:hAnsi="Calibri"/>
          <w:b w:val="0"/>
          <w:color w:val="auto"/>
          <w:sz w:val="22"/>
        </w:rPr>
        <w:t>,</w:t>
      </w:r>
      <w:r w:rsidR="002F6944" w:rsidRPr="002F6944">
        <w:rPr>
          <w:rFonts w:ascii="Calibri" w:hAnsi="Calibri"/>
          <w:b w:val="0"/>
          <w:color w:val="auto"/>
          <w:sz w:val="22"/>
        </w:rPr>
        <w:t xml:space="preserve"> </w:t>
      </w:r>
      <w:r w:rsidR="00E90075" w:rsidRPr="002F6944">
        <w:rPr>
          <w:rFonts w:ascii="Calibri" w:hAnsi="Calibri"/>
          <w:b w:val="0"/>
          <w:color w:val="auto"/>
          <w:sz w:val="22"/>
        </w:rPr>
        <w:t xml:space="preserve">childhood TBI and links to substance use behavior in adolescence and adulthood, </w:t>
      </w:r>
      <w:r w:rsidR="002F6944" w:rsidRPr="002F6944">
        <w:rPr>
          <w:rFonts w:ascii="Calibri" w:hAnsi="Calibri"/>
          <w:b w:val="0"/>
          <w:color w:val="auto"/>
          <w:sz w:val="22"/>
        </w:rPr>
        <w:t xml:space="preserve">and </w:t>
      </w:r>
      <w:r w:rsidR="00685DBC">
        <w:rPr>
          <w:rFonts w:ascii="Calibri" w:hAnsi="Calibri"/>
          <w:b w:val="0"/>
          <w:color w:val="auto"/>
          <w:sz w:val="22"/>
        </w:rPr>
        <w:t>having an illness along with</w:t>
      </w:r>
      <w:r w:rsidR="00E90075" w:rsidRPr="002F6944">
        <w:rPr>
          <w:rFonts w:ascii="Calibri" w:hAnsi="Calibri"/>
          <w:b w:val="0"/>
          <w:color w:val="auto"/>
          <w:sz w:val="22"/>
        </w:rPr>
        <w:t xml:space="preserve"> TBI and needing pain medication</w:t>
      </w:r>
      <w:r w:rsidR="003434EA" w:rsidRPr="002F6944">
        <w:rPr>
          <w:rFonts w:ascii="Calibri" w:hAnsi="Calibri"/>
          <w:b w:val="0"/>
          <w:color w:val="auto"/>
          <w:sz w:val="22"/>
        </w:rPr>
        <w:t>.</w:t>
      </w:r>
      <w:r w:rsidR="003434EA">
        <w:rPr>
          <w:rFonts w:ascii="Calibri" w:hAnsi="Calibri"/>
          <w:b w:val="0"/>
          <w:color w:val="auto"/>
          <w:sz w:val="22"/>
        </w:rPr>
        <w:t xml:space="preserve"> </w:t>
      </w:r>
      <w:r w:rsidR="00685DBC">
        <w:rPr>
          <w:rFonts w:ascii="Calibri" w:hAnsi="Calibri"/>
          <w:b w:val="0"/>
          <w:color w:val="auto"/>
          <w:sz w:val="22"/>
        </w:rPr>
        <w:t>Additionally,</w:t>
      </w:r>
      <w:r w:rsidR="00685DBC" w:rsidRPr="00685DBC">
        <w:rPr>
          <w:rFonts w:ascii="Calibri" w:hAnsi="Calibri"/>
          <w:b w:val="0"/>
          <w:color w:val="auto"/>
          <w:sz w:val="22"/>
        </w:rPr>
        <w:t xml:space="preserve"> </w:t>
      </w:r>
      <w:r w:rsidR="00685DBC">
        <w:rPr>
          <w:rFonts w:ascii="Calibri" w:hAnsi="Calibri"/>
          <w:b w:val="0"/>
          <w:color w:val="auto"/>
          <w:sz w:val="22"/>
        </w:rPr>
        <w:t xml:space="preserve">the authors discuss how </w:t>
      </w:r>
      <w:r w:rsidR="003434EA" w:rsidRPr="00685DBC">
        <w:rPr>
          <w:rFonts w:ascii="Calibri" w:hAnsi="Calibri"/>
          <w:b w:val="0"/>
          <w:color w:val="auto"/>
          <w:sz w:val="22"/>
        </w:rPr>
        <w:t>OUD</w:t>
      </w:r>
      <w:r w:rsidR="00685DBC">
        <w:rPr>
          <w:rFonts w:ascii="Calibri" w:hAnsi="Calibri"/>
          <w:b w:val="0"/>
          <w:color w:val="auto"/>
          <w:sz w:val="22"/>
        </w:rPr>
        <w:t>s</w:t>
      </w:r>
      <w:r w:rsidR="003434EA" w:rsidRPr="00685DBC">
        <w:rPr>
          <w:rFonts w:ascii="Calibri" w:hAnsi="Calibri"/>
          <w:b w:val="0"/>
          <w:color w:val="auto"/>
          <w:sz w:val="22"/>
        </w:rPr>
        <w:t xml:space="preserve"> </w:t>
      </w:r>
      <w:r w:rsidR="00685DBC">
        <w:rPr>
          <w:rFonts w:ascii="Calibri" w:hAnsi="Calibri"/>
          <w:b w:val="0"/>
          <w:color w:val="auto"/>
          <w:sz w:val="22"/>
        </w:rPr>
        <w:t>are</w:t>
      </w:r>
      <w:r w:rsidR="003434EA" w:rsidRPr="00685DBC">
        <w:rPr>
          <w:rFonts w:ascii="Calibri" w:hAnsi="Calibri"/>
          <w:b w:val="0"/>
          <w:color w:val="auto"/>
          <w:sz w:val="22"/>
        </w:rPr>
        <w:t xml:space="preserve"> likely a risk factor for future brain injury.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5AEDB72A" w:rsidR="00A1328A" w:rsidRPr="00A1328A" w:rsidRDefault="00A1328A" w:rsidP="00196C46">
      <w:pPr>
        <w:ind w:left="90"/>
      </w:pPr>
      <w:r w:rsidRPr="00AC0DDC">
        <w:t xml:space="preserve">This </w:t>
      </w:r>
      <w:r w:rsidR="00AC0DDC" w:rsidRPr="00AC0DDC">
        <w:t>commentary</w:t>
      </w:r>
      <w:r w:rsidR="00AC0DDC">
        <w:t xml:space="preserve"> suggests that practitioners can help lessen the severity of the opioid epidemic. The authors </w:t>
      </w:r>
      <w:r w:rsidR="00701C2C">
        <w:t>reason</w:t>
      </w:r>
      <w:r w:rsidR="00AC0DDC">
        <w:t xml:space="preserve"> that </w:t>
      </w:r>
      <w:r w:rsidR="00260E0F">
        <w:t xml:space="preserve">one way </w:t>
      </w:r>
      <w:r w:rsidR="00AC0DDC">
        <w:t>this can be done</w:t>
      </w:r>
      <w:r w:rsidR="00260E0F">
        <w:t xml:space="preserve"> is</w:t>
      </w:r>
      <w:r w:rsidR="00AC0DDC">
        <w:t xml:space="preserve"> by identifying high-risk populations</w:t>
      </w:r>
      <w:r w:rsidR="00701C2C">
        <w:t xml:space="preserve"> through screening</w:t>
      </w:r>
      <w:r w:rsidR="00AC0DDC">
        <w:t>, including individuals with a lifetime history of TBI</w:t>
      </w:r>
      <w:r w:rsidR="00992CE5">
        <w:t xml:space="preserve"> before deciding to prescribe opioids for pain</w:t>
      </w:r>
      <w:r w:rsidR="00AC0DDC">
        <w:t>.</w:t>
      </w:r>
      <w:r w:rsidR="00196C46">
        <w:t xml:space="preserve"> </w:t>
      </w:r>
      <w:r w:rsidR="003434EA">
        <w:t xml:space="preserve">Also, treatment planning should include educational interventions and OUD treatment should accommodate </w:t>
      </w:r>
      <w:r w:rsidR="007A237D">
        <w:t xml:space="preserve">weaknesses in </w:t>
      </w:r>
      <w:r w:rsidR="003434EA">
        <w:t xml:space="preserve">cognitive abilities. The authors also state that more research is needed to identify non-pharmacological approaches to treating pain among people with </w:t>
      </w:r>
      <w:r w:rsidR="00A62FF2">
        <w:t>TBI and</w:t>
      </w:r>
      <w:r w:rsidR="003434EA">
        <w:t xml:space="preserve"> suggest other </w:t>
      </w:r>
      <w:proofErr w:type="gramStart"/>
      <w:r w:rsidR="00C8702D">
        <w:t>similarly-related</w:t>
      </w:r>
      <w:proofErr w:type="gramEnd"/>
      <w:r w:rsidR="00C8702D">
        <w:t xml:space="preserve"> </w:t>
      </w:r>
      <w:r w:rsidR="003434EA">
        <w:t xml:space="preserve">research topics. 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355C84BD" w:rsidR="00196C46" w:rsidRPr="00196C46" w:rsidRDefault="004E7D0E" w:rsidP="00196C46">
      <w:pPr>
        <w:ind w:left="90"/>
      </w:pPr>
      <w:r>
        <w:t>This is a commentary article so there were no participants.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42A009EE" w:rsidR="00196C46" w:rsidRPr="00196C46" w:rsidRDefault="00196C46" w:rsidP="00196C46">
      <w:pPr>
        <w:ind w:left="90"/>
      </w:pPr>
      <w:r>
        <w:t xml:space="preserve">This </w:t>
      </w:r>
      <w:r w:rsidR="00436152">
        <w:t>is</w:t>
      </w:r>
      <w:r w:rsidR="004E7D0E">
        <w:t xml:space="preserve"> a commentary article so there were no study methods.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0681FACF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260E0F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TBI and their families can use the results of this </w:t>
      </w:r>
      <w:r w:rsidR="0054269C">
        <w:rPr>
          <w:rFonts w:asciiTheme="minorHAnsi" w:hAnsiTheme="minorHAnsi"/>
          <w:b w:val="0"/>
          <w:color w:val="auto"/>
          <w:sz w:val="22"/>
          <w:szCs w:val="22"/>
        </w:rPr>
        <w:t>commentary</w:t>
      </w:r>
      <w:r w:rsidRPr="00260E0F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325DE" w:rsidRPr="00260E0F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260E0F">
        <w:rPr>
          <w:rFonts w:asciiTheme="minorHAnsi" w:hAnsiTheme="minorHAnsi"/>
          <w:b w:val="0"/>
          <w:color w:val="auto"/>
          <w:sz w:val="22"/>
          <w:szCs w:val="22"/>
        </w:rPr>
        <w:t xml:space="preserve"> the connection between the opioid epidemic and TBI, and why TBI may increase the risk for opioid disorders.</w:t>
      </w:r>
      <w:r w:rsidR="00C325DE" w:rsidRPr="00260E0F">
        <w:rPr>
          <w:rFonts w:asciiTheme="minorHAnsi" w:hAnsiTheme="minorHAnsi"/>
          <w:b w:val="0"/>
          <w:color w:val="auto"/>
          <w:sz w:val="22"/>
          <w:szCs w:val="22"/>
        </w:rPr>
        <w:t xml:space="preserve"> Practitioners can use th</w:t>
      </w:r>
      <w:r w:rsidR="00260E0F">
        <w:rPr>
          <w:rFonts w:asciiTheme="minorHAnsi" w:hAnsiTheme="minorHAnsi"/>
          <w:b w:val="0"/>
          <w:color w:val="auto"/>
          <w:sz w:val="22"/>
          <w:szCs w:val="22"/>
        </w:rPr>
        <w:t xml:space="preserve">is </w:t>
      </w:r>
      <w:r w:rsidR="000F43B9">
        <w:rPr>
          <w:rFonts w:asciiTheme="minorHAnsi" w:hAnsiTheme="minorHAnsi"/>
          <w:b w:val="0"/>
          <w:color w:val="auto"/>
          <w:sz w:val="22"/>
          <w:szCs w:val="22"/>
        </w:rPr>
        <w:t xml:space="preserve">discussion </w:t>
      </w:r>
      <w:r w:rsidR="00701C2C">
        <w:rPr>
          <w:rFonts w:asciiTheme="minorHAnsi" w:hAnsiTheme="minorHAnsi"/>
          <w:b w:val="0"/>
          <w:color w:val="auto"/>
          <w:sz w:val="22"/>
          <w:szCs w:val="22"/>
        </w:rPr>
        <w:t xml:space="preserve">to learn more about the potential connection between opioid use disorders and TBI. Practitioners can also use this article </w:t>
      </w:r>
      <w:r w:rsidR="000F43B9">
        <w:rPr>
          <w:rFonts w:asciiTheme="minorHAnsi" w:hAnsiTheme="minorHAnsi"/>
          <w:b w:val="0"/>
          <w:color w:val="auto"/>
          <w:sz w:val="22"/>
          <w:szCs w:val="22"/>
        </w:rPr>
        <w:t>to think about</w:t>
      </w:r>
      <w:r w:rsidR="00701C2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F43B9">
        <w:rPr>
          <w:rFonts w:asciiTheme="minorHAnsi" w:hAnsiTheme="minorHAnsi"/>
          <w:b w:val="0"/>
          <w:color w:val="auto"/>
          <w:sz w:val="22"/>
          <w:szCs w:val="22"/>
        </w:rPr>
        <w:t>how they can incorporate screening practices</w:t>
      </w:r>
      <w:r w:rsidR="003434EA">
        <w:rPr>
          <w:rFonts w:asciiTheme="minorHAnsi" w:hAnsiTheme="minorHAnsi"/>
          <w:b w:val="0"/>
          <w:color w:val="auto"/>
          <w:sz w:val="22"/>
          <w:szCs w:val="22"/>
        </w:rPr>
        <w:t xml:space="preserve"> and educational interventions</w:t>
      </w:r>
      <w:r w:rsidR="00701C2C" w:rsidRPr="00701C2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01C2C">
        <w:rPr>
          <w:rFonts w:asciiTheme="minorHAnsi" w:hAnsiTheme="minorHAnsi"/>
          <w:b w:val="0"/>
          <w:color w:val="auto"/>
          <w:sz w:val="22"/>
          <w:szCs w:val="22"/>
        </w:rPr>
        <w:t xml:space="preserve">into their routine that are </w:t>
      </w:r>
      <w:r w:rsidR="000F43B9">
        <w:rPr>
          <w:rFonts w:asciiTheme="minorHAnsi" w:hAnsiTheme="minorHAnsi"/>
          <w:b w:val="0"/>
          <w:color w:val="auto"/>
          <w:sz w:val="22"/>
          <w:szCs w:val="22"/>
        </w:rPr>
        <w:t>sensitive to liftime history of TBI</w:t>
      </w:r>
      <w:r w:rsidR="003434EA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701C2C">
        <w:rPr>
          <w:rFonts w:asciiTheme="minorHAnsi" w:hAnsiTheme="minorHAnsi"/>
          <w:b w:val="0"/>
          <w:color w:val="auto"/>
          <w:sz w:val="22"/>
          <w:szCs w:val="22"/>
        </w:rPr>
        <w:t xml:space="preserve"> when considering prescribing opiods for pain</w:t>
      </w:r>
      <w:r w:rsidR="000F43B9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C325DE" w:rsidRPr="00260E0F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7CA0E9CE" w:rsidR="0075592A" w:rsidRPr="001C0D0C" w:rsidRDefault="003C0524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Corrigan, J.D., &amp; </w:t>
      </w:r>
      <w:proofErr w:type="spellStart"/>
      <w:r>
        <w:rPr>
          <w:rFonts w:ascii="Calibri" w:eastAsia="Calibri" w:hAnsi="Calibri" w:cs="Calibri"/>
        </w:rPr>
        <w:t>Sayko</w:t>
      </w:r>
      <w:proofErr w:type="spellEnd"/>
      <w:r>
        <w:rPr>
          <w:rFonts w:ascii="Calibri" w:eastAsia="Calibri" w:hAnsi="Calibri" w:cs="Calibri"/>
        </w:rPr>
        <w:t xml:space="preserve"> Adams, R</w:t>
      </w:r>
      <w:r w:rsidR="001C0D0C" w:rsidRPr="001C0D0C">
        <w:rPr>
          <w:rFonts w:ascii="Calibri" w:eastAsia="Calibri" w:hAnsi="Calibri" w:cs="Calibri"/>
        </w:rPr>
        <w:t>. (2019).</w:t>
      </w:r>
      <w:r w:rsidR="004E7D0E">
        <w:rPr>
          <w:rFonts w:ascii="Calibri" w:eastAsia="Calibri" w:hAnsi="Calibri" w:cs="Calibri"/>
        </w:rPr>
        <w:t xml:space="preserve"> The intersection of lifetime history of traumatic brain injury and the opioid epidemic</w:t>
      </w:r>
      <w:r w:rsidR="001C0D0C" w:rsidRPr="001C0D0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Addictive Behaviors,</w:t>
      </w:r>
      <w:r w:rsidR="001C0D0C" w:rsidRPr="001C0D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9</w:t>
      </w:r>
      <w:r w:rsidR="001C0D0C" w:rsidRPr="001C0D0C">
        <w:rPr>
          <w:rFonts w:ascii="Calibri" w:eastAsia="Calibri" w:hAnsi="Calibri" w:cs="Calibri"/>
          <w:i/>
        </w:rPr>
        <w:t xml:space="preserve">0, </w:t>
      </w:r>
      <w:r>
        <w:rPr>
          <w:rFonts w:ascii="Calibri" w:eastAsia="Calibri" w:hAnsi="Calibri" w:cs="Calibri"/>
          <w:i/>
        </w:rPr>
        <w:t>143-145</w:t>
      </w:r>
      <w:r w:rsidR="001C0D0C" w:rsidRPr="001C0D0C">
        <w:rPr>
          <w:rFonts w:ascii="Calibri" w:eastAsia="Calibri" w:hAnsi="Calibri" w:cs="Calibri"/>
        </w:rPr>
        <w:t>.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lastRenderedPageBreak/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DD5F9" w14:textId="77777777" w:rsidR="00FC0DDB" w:rsidRDefault="00FC0DDB">
      <w:pPr>
        <w:spacing w:before="0" w:after="0" w:line="240" w:lineRule="auto"/>
      </w:pPr>
      <w:r>
        <w:separator/>
      </w:r>
    </w:p>
  </w:endnote>
  <w:endnote w:type="continuationSeparator" w:id="0">
    <w:p w14:paraId="6BF8EE46" w14:textId="77777777" w:rsidR="00FC0DDB" w:rsidRDefault="00FC0DDB">
      <w:pPr>
        <w:spacing w:before="0" w:after="0" w:line="240" w:lineRule="auto"/>
      </w:pPr>
      <w:r>
        <w:continuationSeparator/>
      </w:r>
    </w:p>
  </w:endnote>
  <w:endnote w:type="continuationNotice" w:id="1">
    <w:p w14:paraId="0CFD3B47" w14:textId="77777777" w:rsidR="00FC0DDB" w:rsidRDefault="00FC0DD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335C65B9" w:rsidR="009154AD" w:rsidRPr="006C4AAA" w:rsidRDefault="00FC0DDB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873F64" w:rsidRPr="00C6058D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2333" w14:textId="77777777" w:rsidR="00FC0DDB" w:rsidRPr="006C7FDE" w:rsidRDefault="00FC0DDB" w:rsidP="006C7FDE">
      <w:pPr>
        <w:pStyle w:val="Footer"/>
      </w:pPr>
    </w:p>
  </w:footnote>
  <w:footnote w:type="continuationSeparator" w:id="0">
    <w:p w14:paraId="3C29EFDC" w14:textId="77777777" w:rsidR="00FC0DDB" w:rsidRPr="006C7FDE" w:rsidRDefault="00FC0DDB" w:rsidP="006C7FDE">
      <w:pPr>
        <w:pStyle w:val="Footer"/>
      </w:pPr>
    </w:p>
  </w:footnote>
  <w:footnote w:type="continuationNotice" w:id="1">
    <w:p w14:paraId="4CAD2D92" w14:textId="77777777" w:rsidR="00FC0DDB" w:rsidRDefault="00FC0DD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0F43B9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0E0F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2F6944"/>
    <w:rsid w:val="00302471"/>
    <w:rsid w:val="00310DDC"/>
    <w:rsid w:val="00317B84"/>
    <w:rsid w:val="00321A6B"/>
    <w:rsid w:val="00322FCA"/>
    <w:rsid w:val="00324ACD"/>
    <w:rsid w:val="003434EA"/>
    <w:rsid w:val="00346CD8"/>
    <w:rsid w:val="003655ED"/>
    <w:rsid w:val="00380DCF"/>
    <w:rsid w:val="003812EA"/>
    <w:rsid w:val="00387B3F"/>
    <w:rsid w:val="003C0524"/>
    <w:rsid w:val="003D3F76"/>
    <w:rsid w:val="003D451D"/>
    <w:rsid w:val="003D6614"/>
    <w:rsid w:val="003E268A"/>
    <w:rsid w:val="00411822"/>
    <w:rsid w:val="00423930"/>
    <w:rsid w:val="0043355B"/>
    <w:rsid w:val="00436152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E7D0E"/>
    <w:rsid w:val="004F1A47"/>
    <w:rsid w:val="004F1F2F"/>
    <w:rsid w:val="004F7772"/>
    <w:rsid w:val="00522108"/>
    <w:rsid w:val="00525A6A"/>
    <w:rsid w:val="00534C29"/>
    <w:rsid w:val="0054269C"/>
    <w:rsid w:val="005439A8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85DBC"/>
    <w:rsid w:val="006A2D72"/>
    <w:rsid w:val="006C4AAA"/>
    <w:rsid w:val="006C7FDE"/>
    <w:rsid w:val="006D6CC9"/>
    <w:rsid w:val="006E1CAF"/>
    <w:rsid w:val="006E6158"/>
    <w:rsid w:val="006F15BE"/>
    <w:rsid w:val="00701C2C"/>
    <w:rsid w:val="007034C5"/>
    <w:rsid w:val="007126B2"/>
    <w:rsid w:val="00736FCA"/>
    <w:rsid w:val="00747916"/>
    <w:rsid w:val="0075592A"/>
    <w:rsid w:val="00793240"/>
    <w:rsid w:val="007A237D"/>
    <w:rsid w:val="007B17CB"/>
    <w:rsid w:val="007B64E2"/>
    <w:rsid w:val="007C71D6"/>
    <w:rsid w:val="007D4E58"/>
    <w:rsid w:val="007E1081"/>
    <w:rsid w:val="007E6A41"/>
    <w:rsid w:val="008034F6"/>
    <w:rsid w:val="00825FE2"/>
    <w:rsid w:val="00835888"/>
    <w:rsid w:val="0084779C"/>
    <w:rsid w:val="008567C5"/>
    <w:rsid w:val="00861210"/>
    <w:rsid w:val="00864AFC"/>
    <w:rsid w:val="00873F64"/>
    <w:rsid w:val="0088127D"/>
    <w:rsid w:val="008B516B"/>
    <w:rsid w:val="008D6A74"/>
    <w:rsid w:val="008F1C67"/>
    <w:rsid w:val="008F230B"/>
    <w:rsid w:val="00914608"/>
    <w:rsid w:val="009154AD"/>
    <w:rsid w:val="00924F5E"/>
    <w:rsid w:val="00925EF3"/>
    <w:rsid w:val="0093353B"/>
    <w:rsid w:val="0097551C"/>
    <w:rsid w:val="00981EA8"/>
    <w:rsid w:val="009866FC"/>
    <w:rsid w:val="009905E0"/>
    <w:rsid w:val="00992CE5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62FF2"/>
    <w:rsid w:val="00A76007"/>
    <w:rsid w:val="00A82836"/>
    <w:rsid w:val="00A83B89"/>
    <w:rsid w:val="00A871C6"/>
    <w:rsid w:val="00AA09C3"/>
    <w:rsid w:val="00AC0DDC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28A"/>
    <w:rsid w:val="00C76E49"/>
    <w:rsid w:val="00C81849"/>
    <w:rsid w:val="00C84DC0"/>
    <w:rsid w:val="00C84F44"/>
    <w:rsid w:val="00C8695F"/>
    <w:rsid w:val="00C8702D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0075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0DDB"/>
    <w:rsid w:val="00FC7D14"/>
    <w:rsid w:val="00FD256C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336D04-FA91-4971-9821-2DD7485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3</cp:revision>
  <cp:lastPrinted>2019-06-11T14:07:00Z</cp:lastPrinted>
  <dcterms:created xsi:type="dcterms:W3CDTF">2020-10-01T19:56:00Z</dcterms:created>
  <dcterms:modified xsi:type="dcterms:W3CDTF">2020-10-07T19:10:00Z</dcterms:modified>
</cp:coreProperties>
</file>